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考点三十四、异位妊娠</w:t>
      </w:r>
    </w:p>
    <w:p>
      <w:pPr>
        <w:pStyle w:val="5"/>
        <w:keepNext w:val="0"/>
        <w:keepLines w:val="0"/>
        <w:widowControl/>
        <w:suppressLineNumbers w:val="0"/>
        <w:rPr>
          <w:sz w:val="28"/>
          <w:szCs w:val="28"/>
        </w:rPr>
      </w:pPr>
      <w:r>
        <w:rPr>
          <w:sz w:val="28"/>
          <w:szCs w:val="28"/>
        </w:rPr>
        <w:t>　　(一)症状及体征</w:t>
      </w:r>
    </w:p>
    <w:p>
      <w:pPr>
        <w:pStyle w:val="5"/>
        <w:keepNext w:val="0"/>
        <w:keepLines w:val="0"/>
        <w:widowControl/>
        <w:suppressLineNumbers w:val="0"/>
        <w:rPr>
          <w:sz w:val="28"/>
          <w:szCs w:val="28"/>
        </w:rPr>
      </w:pPr>
      <w:r>
        <w:rPr>
          <w:sz w:val="28"/>
          <w:szCs w:val="28"/>
        </w:rPr>
        <w:t>　　1.停经　除输卵管间质部妊娠停经时间较长外，输卵管壶腹部和峡部妊娠多有 6~8 周停经。有 25%患者无明显停经史。</w:t>
      </w:r>
    </w:p>
    <w:p>
      <w:pPr>
        <w:pStyle w:val="5"/>
        <w:keepNext w:val="0"/>
        <w:keepLines w:val="0"/>
        <w:widowControl/>
        <w:suppressLineNumbers w:val="0"/>
        <w:rPr>
          <w:sz w:val="28"/>
          <w:szCs w:val="28"/>
        </w:rPr>
      </w:pPr>
      <w:r>
        <w:rPr>
          <w:sz w:val="28"/>
          <w:szCs w:val="28"/>
        </w:rPr>
        <w:t>　　2.阴道出血　常表现为短暂停经后不规则阴道流血，色暗红，量少，一般不超过月经量。</w:t>
      </w:r>
    </w:p>
    <w:p>
      <w:pPr>
        <w:pStyle w:val="5"/>
        <w:keepNext w:val="0"/>
        <w:keepLines w:val="0"/>
        <w:widowControl/>
        <w:suppressLineNumbers w:val="0"/>
        <w:rPr>
          <w:sz w:val="28"/>
          <w:szCs w:val="28"/>
        </w:rPr>
      </w:pPr>
      <w:r>
        <w:rPr>
          <w:sz w:val="28"/>
          <w:szCs w:val="28"/>
        </w:rPr>
        <w:t>　　3.腹痛　95%以上的输卵管妊娠的患者以腹痛为主诉就诊。</w:t>
      </w:r>
    </w:p>
    <w:p>
      <w:pPr>
        <w:pStyle w:val="5"/>
        <w:keepNext w:val="0"/>
        <w:keepLines w:val="0"/>
        <w:widowControl/>
        <w:suppressLineNumbers w:val="0"/>
        <w:rPr>
          <w:sz w:val="28"/>
          <w:szCs w:val="28"/>
        </w:rPr>
      </w:pPr>
      <w:r>
        <w:rPr>
          <w:sz w:val="28"/>
          <w:szCs w:val="28"/>
        </w:rPr>
        <w:t>　　4.晕厥与休克。</w:t>
      </w:r>
    </w:p>
    <w:p>
      <w:pPr>
        <w:pStyle w:val="5"/>
        <w:keepNext w:val="0"/>
        <w:keepLines w:val="0"/>
        <w:widowControl/>
        <w:suppressLineNumbers w:val="0"/>
        <w:rPr>
          <w:sz w:val="28"/>
          <w:szCs w:val="28"/>
        </w:rPr>
      </w:pPr>
      <w:r>
        <w:rPr>
          <w:sz w:val="28"/>
          <w:szCs w:val="28"/>
        </w:rPr>
        <w:t>　　5.出血量不多时患侧下腹明显压痛、反跳痛，轻度肌紧张;出血多时可出现腹部膨隆，全腹压痛及反跳痛，压痛以患侧输卵管处为甚。 移动性浊音阳性。 严重者贫血貌，出现休克表现，如面色苍白、四肢厥冷、脉速细弱、血压下降等。</w:t>
      </w:r>
    </w:p>
    <w:p>
      <w:pPr>
        <w:pStyle w:val="5"/>
        <w:keepNext w:val="0"/>
        <w:keepLines w:val="0"/>
        <w:widowControl/>
        <w:suppressLineNumbers w:val="0"/>
        <w:rPr>
          <w:sz w:val="28"/>
          <w:szCs w:val="28"/>
        </w:rPr>
      </w:pPr>
      <w:r>
        <w:rPr>
          <w:sz w:val="28"/>
          <w:szCs w:val="28"/>
        </w:rPr>
        <w:t>　　6.盆腔体征　妇科检查可见阴道少量血液，后穹隆饱满，触痛。 宫颈举痛明显。</w:t>
      </w:r>
    </w:p>
    <w:p>
      <w:pPr>
        <w:pStyle w:val="5"/>
        <w:keepNext w:val="0"/>
        <w:keepLines w:val="0"/>
        <w:widowControl/>
        <w:suppressLineNumbers w:val="0"/>
        <w:rPr>
          <w:sz w:val="28"/>
          <w:szCs w:val="28"/>
        </w:rPr>
      </w:pPr>
      <w:r>
        <w:rPr>
          <w:sz w:val="28"/>
          <w:szCs w:val="28"/>
        </w:rPr>
        <w:t>　　(二)诊断</w:t>
      </w:r>
    </w:p>
    <w:p>
      <w:pPr>
        <w:pStyle w:val="5"/>
        <w:keepNext w:val="0"/>
        <w:keepLines w:val="0"/>
        <w:widowControl/>
        <w:suppressLineNumbers w:val="0"/>
        <w:rPr>
          <w:sz w:val="28"/>
          <w:szCs w:val="28"/>
        </w:rPr>
      </w:pPr>
      <w:r>
        <w:rPr>
          <w:sz w:val="28"/>
          <w:szCs w:val="28"/>
        </w:rPr>
        <w:t>　　1.血 β-HCG 测定　 是目前早期诊断异位妊娠的重要方法。 异位妊娠时一般较正常妊娠时血HCG 低。</w:t>
      </w:r>
    </w:p>
    <w:p>
      <w:pPr>
        <w:pStyle w:val="5"/>
        <w:keepNext w:val="0"/>
        <w:keepLines w:val="0"/>
        <w:widowControl/>
        <w:suppressLineNumbers w:val="0"/>
        <w:rPr>
          <w:sz w:val="28"/>
          <w:szCs w:val="28"/>
        </w:rPr>
      </w:pPr>
      <w:r>
        <w:rPr>
          <w:sz w:val="28"/>
          <w:szCs w:val="28"/>
        </w:rPr>
        <w:t>　　2.超声诊断　B 型超声检查对异位妊娠的诊断尤为常用。</w:t>
      </w:r>
    </w:p>
    <w:p>
      <w:pPr>
        <w:pStyle w:val="5"/>
        <w:keepNext w:val="0"/>
        <w:keepLines w:val="0"/>
        <w:widowControl/>
        <w:suppressLineNumbers w:val="0"/>
        <w:rPr>
          <w:sz w:val="28"/>
          <w:szCs w:val="28"/>
        </w:rPr>
      </w:pPr>
      <w:r>
        <w:rPr>
          <w:sz w:val="28"/>
          <w:szCs w:val="28"/>
        </w:rPr>
        <w:t>　　3.诊断性刮宫　在不能排除异位妊娠时，可行诊断性刮宫术，获取子宫内膜进行病理检查。</w:t>
      </w:r>
    </w:p>
    <w:p>
      <w:pPr>
        <w:pStyle w:val="5"/>
        <w:keepNext w:val="0"/>
        <w:keepLines w:val="0"/>
        <w:widowControl/>
        <w:suppressLineNumbers w:val="0"/>
        <w:rPr>
          <w:sz w:val="28"/>
          <w:szCs w:val="28"/>
        </w:rPr>
      </w:pPr>
      <w:r>
        <w:rPr>
          <w:sz w:val="28"/>
          <w:szCs w:val="28"/>
        </w:rPr>
        <w:t>　　4.后穹隆穿刺或腹腔穿刺　后穹隆穿刺辅助诊断异位妊娠被广泛采用，适用于疑有腹腔内出血。 若抽出血液放置后不凝固，证明有血腹存在。</w:t>
      </w:r>
    </w:p>
    <w:p>
      <w:pPr>
        <w:pStyle w:val="5"/>
        <w:keepNext w:val="0"/>
        <w:keepLines w:val="0"/>
        <w:widowControl/>
        <w:suppressLineNumbers w:val="0"/>
        <w:rPr>
          <w:sz w:val="28"/>
          <w:szCs w:val="28"/>
        </w:rPr>
      </w:pPr>
      <w:r>
        <w:rPr>
          <w:sz w:val="28"/>
          <w:szCs w:val="28"/>
        </w:rPr>
        <w:t>　　(三)鉴别诊断</w:t>
      </w:r>
    </w:p>
    <w:p>
      <w:pPr>
        <w:pStyle w:val="5"/>
        <w:keepNext w:val="0"/>
        <w:keepLines w:val="0"/>
        <w:widowControl/>
        <w:suppressLineNumbers w:val="0"/>
        <w:rPr>
          <w:sz w:val="28"/>
          <w:szCs w:val="28"/>
        </w:rPr>
      </w:pPr>
      <w:r>
        <w:rPr>
          <w:sz w:val="28"/>
          <w:szCs w:val="28"/>
        </w:rPr>
        <w:t>　　1.早期妊娠流产　有停经史，HCG 测定阳性，但腹痛为下腹中央阵发性疼痛，妇科检查宫口可开大或有组织堵塞，附件区无包块，无压痛。 B 超检查宫内可探及妊娠囊，宫旁无异常。</w:t>
      </w:r>
    </w:p>
    <w:p>
      <w:pPr>
        <w:pStyle w:val="5"/>
        <w:keepNext w:val="0"/>
        <w:keepLines w:val="0"/>
        <w:widowControl/>
        <w:suppressLineNumbers w:val="0"/>
        <w:rPr>
          <w:sz w:val="28"/>
          <w:szCs w:val="28"/>
        </w:rPr>
      </w:pPr>
      <w:r>
        <w:rPr>
          <w:sz w:val="28"/>
          <w:szCs w:val="28"/>
        </w:rPr>
        <w:t>　　2.卵巢黄体破裂　疼痛性质及下腹查体同异位妊娠，但患者无停经史，发作时间在黄体期，HCG 测定阴性可作出鉴别。</w:t>
      </w:r>
    </w:p>
    <w:p>
      <w:pPr>
        <w:pStyle w:val="5"/>
        <w:keepNext w:val="0"/>
        <w:keepLines w:val="0"/>
        <w:widowControl/>
        <w:suppressLineNumbers w:val="0"/>
        <w:rPr>
          <w:sz w:val="28"/>
          <w:szCs w:val="28"/>
        </w:rPr>
      </w:pPr>
      <w:r>
        <w:rPr>
          <w:sz w:val="28"/>
          <w:szCs w:val="28"/>
        </w:rPr>
        <w:t>　　3.卵巢囊肿蒂扭转　表现为一侧附件区的突发剧痛，无阴道流血，无停经史，查体患侧附件区可触及包块，界清，触痛明显。B超及 HCG 测定可帮助鉴别。</w:t>
      </w:r>
    </w:p>
    <w:p>
      <w:pPr>
        <w:pStyle w:val="5"/>
        <w:keepNext w:val="0"/>
        <w:keepLines w:val="0"/>
        <w:widowControl/>
        <w:suppressLineNumbers w:val="0"/>
        <w:rPr>
          <w:sz w:val="28"/>
          <w:szCs w:val="28"/>
        </w:rPr>
      </w:pPr>
      <w:r>
        <w:rPr>
          <w:sz w:val="28"/>
          <w:szCs w:val="28"/>
        </w:rPr>
        <w:t>　　4.急性阑尾炎　典型者表现为转移性右下腹疼痛，伴发热，血象明显升高。无停经史，HCG测定阴性，B超附件区无包块可鉴别。</w:t>
      </w:r>
    </w:p>
    <w:p>
      <w:pPr>
        <w:pStyle w:val="5"/>
        <w:keepNext w:val="0"/>
        <w:keepLines w:val="0"/>
        <w:widowControl/>
        <w:suppressLineNumbers w:val="0"/>
        <w:rPr>
          <w:b/>
          <w:bCs/>
          <w:sz w:val="28"/>
          <w:szCs w:val="28"/>
        </w:rPr>
      </w:pPr>
      <w:r>
        <w:rPr>
          <w:b/>
          <w:bCs/>
          <w:sz w:val="28"/>
          <w:szCs w:val="28"/>
        </w:rPr>
        <w:t>　　考点三十五、阴道炎</w:t>
      </w:r>
    </w:p>
    <w:p>
      <w:pPr>
        <w:pStyle w:val="5"/>
        <w:keepNext w:val="0"/>
        <w:keepLines w:val="0"/>
        <w:widowControl/>
        <w:suppressLineNumbers w:val="0"/>
        <w:rPr>
          <w:sz w:val="28"/>
          <w:szCs w:val="28"/>
        </w:rPr>
      </w:pPr>
      <w:r>
        <w:rPr>
          <w:sz w:val="28"/>
          <w:szCs w:val="28"/>
        </w:rPr>
        <w:t>　　阴道炎是妇科最常见的疾病，各年龄组均可发病。 其明确诊断及类型如下:</w:t>
      </w:r>
    </w:p>
    <w:p>
      <w:pPr>
        <w:pStyle w:val="5"/>
        <w:keepNext w:val="0"/>
        <w:keepLines w:val="0"/>
        <w:widowControl/>
        <w:suppressLineNumbers w:val="0"/>
        <w:jc w:val="center"/>
        <w:rPr>
          <w:b/>
          <w:bCs/>
          <w:sz w:val="28"/>
          <w:szCs w:val="28"/>
        </w:rPr>
      </w:pPr>
      <w:r>
        <w:rPr>
          <w:b/>
          <w:bCs/>
          <w:sz w:val="28"/>
          <w:szCs w:val="28"/>
        </w:rPr>
        <w:t>阴道炎类型的鉴别</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tcPr>
          <w:p>
            <w:pPr>
              <w:pStyle w:val="5"/>
              <w:keepNext w:val="0"/>
              <w:keepLines w:val="0"/>
              <w:widowControl/>
              <w:suppressLineNumbers w:val="0"/>
              <w:jc w:val="center"/>
              <w:rPr>
                <w:b/>
                <w:bCs/>
                <w:sz w:val="28"/>
                <w:szCs w:val="28"/>
                <w:vertAlign w:val="baseline"/>
              </w:rPr>
            </w:pPr>
          </w:p>
        </w:tc>
        <w:tc>
          <w:tcPr>
            <w:tcW w:w="1704" w:type="dxa"/>
          </w:tcPr>
          <w:p>
            <w:pPr>
              <w:pStyle w:val="5"/>
              <w:keepNext w:val="0"/>
              <w:keepLines w:val="0"/>
              <w:widowControl/>
              <w:suppressLineNumbers w:val="0"/>
              <w:jc w:val="center"/>
              <w:rPr>
                <w:b w:val="0"/>
                <w:bCs w:val="0"/>
                <w:sz w:val="28"/>
                <w:szCs w:val="28"/>
                <w:vertAlign w:val="baseline"/>
              </w:rPr>
            </w:pPr>
            <w:r>
              <w:rPr>
                <w:rFonts w:hint="eastAsia"/>
                <w:b w:val="0"/>
                <w:bCs w:val="0"/>
                <w:sz w:val="28"/>
                <w:szCs w:val="28"/>
                <w:vertAlign w:val="baseline"/>
              </w:rPr>
              <w:t>滴虫阴道炎</w:t>
            </w:r>
          </w:p>
        </w:tc>
        <w:tc>
          <w:tcPr>
            <w:tcW w:w="1704" w:type="dxa"/>
          </w:tcPr>
          <w:p>
            <w:pPr>
              <w:pStyle w:val="5"/>
              <w:keepNext w:val="0"/>
              <w:keepLines w:val="0"/>
              <w:widowControl/>
              <w:suppressLineNumbers w:val="0"/>
              <w:jc w:val="center"/>
              <w:rPr>
                <w:b w:val="0"/>
                <w:bCs w:val="0"/>
                <w:sz w:val="28"/>
                <w:szCs w:val="28"/>
                <w:vertAlign w:val="baseline"/>
              </w:rPr>
            </w:pPr>
            <w:r>
              <w:rPr>
                <w:rFonts w:hint="eastAsia"/>
                <w:b w:val="0"/>
                <w:bCs w:val="0"/>
                <w:sz w:val="28"/>
                <w:szCs w:val="28"/>
                <w:vertAlign w:val="baseline"/>
              </w:rPr>
              <w:t>外阴阴道假丝酵母菌病</w:t>
            </w:r>
          </w:p>
        </w:tc>
        <w:tc>
          <w:tcPr>
            <w:tcW w:w="1705" w:type="dxa"/>
          </w:tcPr>
          <w:p>
            <w:pPr>
              <w:pStyle w:val="5"/>
              <w:keepNext w:val="0"/>
              <w:keepLines w:val="0"/>
              <w:widowControl/>
              <w:suppressLineNumbers w:val="0"/>
              <w:jc w:val="center"/>
              <w:rPr>
                <w:b w:val="0"/>
                <w:bCs w:val="0"/>
                <w:sz w:val="28"/>
                <w:szCs w:val="28"/>
                <w:vertAlign w:val="baseline"/>
              </w:rPr>
            </w:pPr>
            <w:r>
              <w:rPr>
                <w:rFonts w:hint="eastAsia"/>
                <w:b w:val="0"/>
                <w:bCs w:val="0"/>
                <w:sz w:val="28"/>
                <w:szCs w:val="28"/>
                <w:vertAlign w:val="baseline"/>
              </w:rPr>
              <w:t>细菌性阴道病</w:t>
            </w:r>
          </w:p>
        </w:tc>
        <w:tc>
          <w:tcPr>
            <w:tcW w:w="1705" w:type="dxa"/>
          </w:tcPr>
          <w:p>
            <w:pPr>
              <w:pStyle w:val="5"/>
              <w:keepNext w:val="0"/>
              <w:keepLines w:val="0"/>
              <w:widowControl/>
              <w:suppressLineNumbers w:val="0"/>
              <w:jc w:val="center"/>
              <w:rPr>
                <w:b w:val="0"/>
                <w:bCs w:val="0"/>
                <w:sz w:val="28"/>
                <w:szCs w:val="28"/>
                <w:vertAlign w:val="baseline"/>
              </w:rPr>
            </w:pPr>
            <w:r>
              <w:rPr>
                <w:rFonts w:hint="eastAsia"/>
                <w:b w:val="0"/>
                <w:bCs w:val="0"/>
                <w:sz w:val="28"/>
                <w:szCs w:val="28"/>
                <w:vertAlign w:val="baseline"/>
              </w:rPr>
              <w:t>萎缩性阴道炎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tcPr>
          <w:p>
            <w:pPr>
              <w:pStyle w:val="5"/>
              <w:keepNext w:val="0"/>
              <w:keepLines w:val="0"/>
              <w:widowControl/>
              <w:suppressLineNumbers w:val="0"/>
              <w:jc w:val="center"/>
              <w:rPr>
                <w:b/>
                <w:bCs/>
                <w:sz w:val="28"/>
                <w:szCs w:val="28"/>
                <w:vertAlign w:val="baseline"/>
              </w:rPr>
            </w:pPr>
            <w:r>
              <w:rPr>
                <w:rFonts w:hint="eastAsia"/>
                <w:b w:val="0"/>
                <w:bCs w:val="0"/>
                <w:sz w:val="28"/>
                <w:szCs w:val="28"/>
                <w:vertAlign w:val="baseline"/>
              </w:rPr>
              <w:t>外阴瘙痒</w:t>
            </w:r>
          </w:p>
        </w:tc>
        <w:tc>
          <w:tcPr>
            <w:tcW w:w="1704" w:type="dxa"/>
          </w:tcPr>
          <w:p>
            <w:pPr>
              <w:pStyle w:val="5"/>
              <w:keepNext w:val="0"/>
              <w:keepLines w:val="0"/>
              <w:widowControl/>
              <w:suppressLineNumbers w:val="0"/>
              <w:jc w:val="center"/>
              <w:rPr>
                <w:b w:val="0"/>
                <w:bCs w:val="0"/>
                <w:sz w:val="28"/>
                <w:szCs w:val="28"/>
                <w:vertAlign w:val="baseline"/>
              </w:rPr>
            </w:pPr>
            <w:r>
              <w:rPr>
                <w:rFonts w:hint="eastAsia"/>
                <w:b w:val="0"/>
                <w:bCs w:val="0"/>
                <w:sz w:val="28"/>
                <w:szCs w:val="28"/>
                <w:vertAlign w:val="baseline"/>
              </w:rPr>
              <w:t>轻度</w:t>
            </w:r>
          </w:p>
        </w:tc>
        <w:tc>
          <w:tcPr>
            <w:tcW w:w="1704" w:type="dxa"/>
          </w:tcPr>
          <w:p>
            <w:pPr>
              <w:pStyle w:val="5"/>
              <w:keepNext w:val="0"/>
              <w:keepLines w:val="0"/>
              <w:widowControl/>
              <w:suppressLineNumbers w:val="0"/>
              <w:jc w:val="center"/>
              <w:rPr>
                <w:b w:val="0"/>
                <w:bCs w:val="0"/>
                <w:sz w:val="28"/>
                <w:szCs w:val="28"/>
                <w:vertAlign w:val="baseline"/>
              </w:rPr>
            </w:pPr>
            <w:r>
              <w:rPr>
                <w:rFonts w:hint="eastAsia"/>
                <w:b w:val="0"/>
                <w:bCs w:val="0"/>
                <w:sz w:val="28"/>
                <w:szCs w:val="28"/>
                <w:vertAlign w:val="baseline"/>
              </w:rPr>
              <w:t>重度</w:t>
            </w:r>
          </w:p>
        </w:tc>
        <w:tc>
          <w:tcPr>
            <w:tcW w:w="1705" w:type="dxa"/>
          </w:tcPr>
          <w:p>
            <w:pPr>
              <w:pStyle w:val="5"/>
              <w:keepNext w:val="0"/>
              <w:keepLines w:val="0"/>
              <w:widowControl/>
              <w:suppressLineNumbers w:val="0"/>
              <w:jc w:val="center"/>
              <w:rPr>
                <w:b w:val="0"/>
                <w:bCs w:val="0"/>
                <w:sz w:val="28"/>
                <w:szCs w:val="28"/>
                <w:vertAlign w:val="baseline"/>
              </w:rPr>
            </w:pPr>
            <w:r>
              <w:rPr>
                <w:rFonts w:hint="eastAsia"/>
                <w:b w:val="0"/>
                <w:bCs w:val="0"/>
                <w:sz w:val="28"/>
                <w:szCs w:val="28"/>
                <w:vertAlign w:val="baseline"/>
              </w:rPr>
              <w:t>无或轻度</w:t>
            </w:r>
          </w:p>
        </w:tc>
        <w:tc>
          <w:tcPr>
            <w:tcW w:w="1705" w:type="dxa"/>
          </w:tcPr>
          <w:p>
            <w:pPr>
              <w:pStyle w:val="5"/>
              <w:keepNext w:val="0"/>
              <w:keepLines w:val="0"/>
              <w:widowControl/>
              <w:suppressLineNumbers w:val="0"/>
              <w:jc w:val="center"/>
              <w:rPr>
                <w:b w:val="0"/>
                <w:bCs w:val="0"/>
                <w:sz w:val="28"/>
                <w:szCs w:val="28"/>
                <w:vertAlign w:val="baseline"/>
              </w:rPr>
            </w:pPr>
            <w:r>
              <w:rPr>
                <w:rFonts w:hint="eastAsia"/>
                <w:b w:val="0"/>
                <w:bCs w:val="0"/>
                <w:sz w:val="28"/>
                <w:szCs w:val="28"/>
                <w:vertAlign w:val="baseline"/>
              </w:rPr>
              <w:t>灼热、瘙痒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tcPr>
          <w:p>
            <w:pPr>
              <w:pStyle w:val="5"/>
              <w:keepNext w:val="0"/>
              <w:keepLines w:val="0"/>
              <w:widowControl/>
              <w:suppressLineNumbers w:val="0"/>
              <w:jc w:val="center"/>
              <w:rPr>
                <w:b/>
                <w:bCs/>
                <w:sz w:val="28"/>
                <w:szCs w:val="28"/>
                <w:vertAlign w:val="baseline"/>
              </w:rPr>
            </w:pPr>
            <w:r>
              <w:rPr>
                <w:rFonts w:hint="eastAsia"/>
                <w:b w:val="0"/>
                <w:bCs w:val="0"/>
                <w:sz w:val="28"/>
                <w:szCs w:val="28"/>
                <w:vertAlign w:val="baseline"/>
              </w:rPr>
              <w:t>分泌物</w:t>
            </w:r>
          </w:p>
        </w:tc>
        <w:tc>
          <w:tcPr>
            <w:tcW w:w="1704" w:type="dxa"/>
          </w:tcPr>
          <w:p>
            <w:pPr>
              <w:pStyle w:val="5"/>
              <w:keepNext w:val="0"/>
              <w:keepLines w:val="0"/>
              <w:widowControl/>
              <w:suppressLineNumbers w:val="0"/>
              <w:rPr>
                <w:sz w:val="28"/>
                <w:szCs w:val="28"/>
              </w:rPr>
            </w:pPr>
            <w:r>
              <w:rPr>
                <w:sz w:val="28"/>
                <w:szCs w:val="28"/>
              </w:rPr>
              <w:t>稀薄脓性、泡沫状、有臭味</w:t>
            </w:r>
          </w:p>
          <w:p>
            <w:pPr>
              <w:pStyle w:val="5"/>
              <w:keepNext w:val="0"/>
              <w:keepLines w:val="0"/>
              <w:widowControl/>
              <w:suppressLineNumbers w:val="0"/>
              <w:jc w:val="center"/>
              <w:rPr>
                <w:b/>
                <w:bCs/>
                <w:sz w:val="28"/>
                <w:szCs w:val="28"/>
                <w:vertAlign w:val="baseline"/>
              </w:rPr>
            </w:pPr>
          </w:p>
        </w:tc>
        <w:tc>
          <w:tcPr>
            <w:tcW w:w="1704" w:type="dxa"/>
          </w:tcPr>
          <w:p>
            <w:pPr>
              <w:pStyle w:val="5"/>
              <w:keepNext w:val="0"/>
              <w:keepLines w:val="0"/>
              <w:widowControl/>
              <w:suppressLineNumbers w:val="0"/>
              <w:rPr>
                <w:sz w:val="28"/>
                <w:szCs w:val="28"/>
              </w:rPr>
            </w:pPr>
            <w:r>
              <w:rPr>
                <w:sz w:val="28"/>
                <w:szCs w:val="28"/>
              </w:rPr>
              <w:t>白色稠厚呈凝乳或豆腐渣样</w:t>
            </w:r>
          </w:p>
          <w:p>
            <w:pPr>
              <w:pStyle w:val="5"/>
              <w:keepNext w:val="0"/>
              <w:keepLines w:val="0"/>
              <w:widowControl/>
              <w:suppressLineNumbers w:val="0"/>
              <w:jc w:val="center"/>
              <w:rPr>
                <w:b/>
                <w:bCs/>
                <w:sz w:val="28"/>
                <w:szCs w:val="28"/>
                <w:vertAlign w:val="baseline"/>
              </w:rPr>
            </w:pPr>
          </w:p>
        </w:tc>
        <w:tc>
          <w:tcPr>
            <w:tcW w:w="1705" w:type="dxa"/>
          </w:tcPr>
          <w:p>
            <w:pPr>
              <w:pStyle w:val="5"/>
              <w:keepNext w:val="0"/>
              <w:keepLines w:val="0"/>
              <w:widowControl/>
              <w:suppressLineNumbers w:val="0"/>
              <w:rPr>
                <w:sz w:val="28"/>
                <w:szCs w:val="28"/>
              </w:rPr>
            </w:pPr>
            <w:r>
              <w:rPr>
                <w:sz w:val="28"/>
                <w:szCs w:val="28"/>
              </w:rPr>
              <w:t>均质、稀薄、鱼腥样臭味</w:t>
            </w:r>
          </w:p>
          <w:p>
            <w:pPr>
              <w:pStyle w:val="5"/>
              <w:keepNext w:val="0"/>
              <w:keepLines w:val="0"/>
              <w:widowControl/>
              <w:suppressLineNumbers w:val="0"/>
              <w:jc w:val="center"/>
              <w:rPr>
                <w:b/>
                <w:bCs/>
                <w:sz w:val="28"/>
                <w:szCs w:val="28"/>
                <w:vertAlign w:val="baseline"/>
              </w:rPr>
            </w:pPr>
          </w:p>
        </w:tc>
        <w:tc>
          <w:tcPr>
            <w:tcW w:w="1705" w:type="dxa"/>
          </w:tcPr>
          <w:p>
            <w:pPr>
              <w:pStyle w:val="5"/>
              <w:keepNext w:val="0"/>
              <w:keepLines w:val="0"/>
              <w:widowControl/>
              <w:suppressLineNumbers w:val="0"/>
              <w:rPr>
                <w:sz w:val="28"/>
                <w:szCs w:val="28"/>
              </w:rPr>
            </w:pPr>
            <w:r>
              <w:rPr>
                <w:sz w:val="28"/>
                <w:szCs w:val="28"/>
              </w:rPr>
              <w:t>黄水样、严重时呈脓性</w:t>
            </w:r>
          </w:p>
          <w:p>
            <w:pPr>
              <w:pStyle w:val="5"/>
              <w:keepNext w:val="0"/>
              <w:keepLines w:val="0"/>
              <w:widowControl/>
              <w:suppressLineNumbers w:val="0"/>
              <w:jc w:val="center"/>
              <w:rPr>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tcPr>
          <w:p>
            <w:pPr>
              <w:pStyle w:val="5"/>
              <w:keepNext w:val="0"/>
              <w:keepLines w:val="0"/>
              <w:widowControl/>
              <w:suppressLineNumbers w:val="0"/>
              <w:jc w:val="center"/>
              <w:rPr>
                <w:b/>
                <w:bCs/>
                <w:sz w:val="28"/>
                <w:szCs w:val="28"/>
                <w:vertAlign w:val="baseline"/>
              </w:rPr>
            </w:pPr>
            <w:r>
              <w:rPr>
                <w:rFonts w:hint="eastAsia"/>
                <w:b w:val="0"/>
                <w:bCs w:val="0"/>
                <w:sz w:val="28"/>
                <w:szCs w:val="28"/>
                <w:vertAlign w:val="baseline"/>
              </w:rPr>
              <w:t>显微镜检</w:t>
            </w:r>
          </w:p>
        </w:tc>
        <w:tc>
          <w:tcPr>
            <w:tcW w:w="1704" w:type="dxa"/>
          </w:tcPr>
          <w:p>
            <w:pPr>
              <w:pStyle w:val="5"/>
              <w:keepNext w:val="0"/>
              <w:keepLines w:val="0"/>
              <w:widowControl/>
              <w:suppressLineNumbers w:val="0"/>
              <w:jc w:val="center"/>
              <w:rPr>
                <w:b/>
                <w:bCs/>
                <w:sz w:val="28"/>
                <w:szCs w:val="28"/>
                <w:vertAlign w:val="baseline"/>
              </w:rPr>
            </w:pPr>
            <w:r>
              <w:rPr>
                <w:rFonts w:hint="eastAsia"/>
                <w:b w:val="0"/>
                <w:bCs w:val="0"/>
                <w:sz w:val="28"/>
                <w:szCs w:val="28"/>
                <w:vertAlign w:val="baseline"/>
              </w:rPr>
              <w:t>阴道毛滴虫</w:t>
            </w:r>
          </w:p>
        </w:tc>
        <w:tc>
          <w:tcPr>
            <w:tcW w:w="1704" w:type="dxa"/>
          </w:tcPr>
          <w:p>
            <w:pPr>
              <w:pStyle w:val="5"/>
              <w:keepNext w:val="0"/>
              <w:keepLines w:val="0"/>
              <w:widowControl/>
              <w:suppressLineNumbers w:val="0"/>
              <w:jc w:val="center"/>
              <w:rPr>
                <w:b/>
                <w:bCs/>
                <w:sz w:val="28"/>
                <w:szCs w:val="28"/>
                <w:vertAlign w:val="baseline"/>
              </w:rPr>
            </w:pPr>
            <w:r>
              <w:rPr>
                <w:rFonts w:hint="eastAsia"/>
                <w:b w:val="0"/>
                <w:bCs w:val="0"/>
                <w:sz w:val="28"/>
                <w:szCs w:val="28"/>
                <w:vertAlign w:val="baseline"/>
              </w:rPr>
              <w:t>芽胞和假菌丝</w:t>
            </w:r>
          </w:p>
        </w:tc>
        <w:tc>
          <w:tcPr>
            <w:tcW w:w="1705" w:type="dxa"/>
          </w:tcPr>
          <w:p>
            <w:pPr>
              <w:pStyle w:val="5"/>
              <w:keepNext w:val="0"/>
              <w:keepLines w:val="0"/>
              <w:widowControl/>
              <w:suppressLineNumbers w:val="0"/>
              <w:jc w:val="center"/>
              <w:rPr>
                <w:b/>
                <w:bCs/>
                <w:sz w:val="28"/>
                <w:szCs w:val="28"/>
                <w:vertAlign w:val="baseline"/>
              </w:rPr>
            </w:pPr>
            <w:r>
              <w:rPr>
                <w:rFonts w:hint="eastAsia"/>
                <w:b w:val="0"/>
                <w:bCs w:val="0"/>
                <w:sz w:val="28"/>
                <w:szCs w:val="28"/>
                <w:vertAlign w:val="baseline"/>
              </w:rPr>
              <w:t>线索细胞</w:t>
            </w:r>
          </w:p>
        </w:tc>
        <w:tc>
          <w:tcPr>
            <w:tcW w:w="1705" w:type="dxa"/>
          </w:tcPr>
          <w:p>
            <w:pPr>
              <w:pStyle w:val="5"/>
              <w:keepNext w:val="0"/>
              <w:keepLines w:val="0"/>
              <w:widowControl/>
              <w:suppressLineNumbers w:val="0"/>
              <w:rPr>
                <w:sz w:val="28"/>
                <w:szCs w:val="28"/>
              </w:rPr>
            </w:pPr>
            <w:r>
              <w:rPr>
                <w:sz w:val="28"/>
                <w:szCs w:val="28"/>
              </w:rPr>
              <w:t>基底层细胞及白细胞</w:t>
            </w:r>
          </w:p>
          <w:p>
            <w:pPr>
              <w:pStyle w:val="5"/>
              <w:keepNext w:val="0"/>
              <w:keepLines w:val="0"/>
              <w:widowControl/>
              <w:suppressLineNumbers w:val="0"/>
              <w:jc w:val="center"/>
              <w:rPr>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tcPr>
          <w:p>
            <w:pPr>
              <w:pStyle w:val="5"/>
              <w:keepNext w:val="0"/>
              <w:keepLines w:val="0"/>
              <w:widowControl/>
              <w:suppressLineNumbers w:val="0"/>
              <w:jc w:val="center"/>
              <w:rPr>
                <w:b/>
                <w:bCs/>
                <w:sz w:val="28"/>
                <w:szCs w:val="28"/>
                <w:vertAlign w:val="baseline"/>
              </w:rPr>
            </w:pPr>
            <w:r>
              <w:rPr>
                <w:rFonts w:hint="eastAsia"/>
                <w:b w:val="0"/>
                <w:bCs w:val="0"/>
                <w:sz w:val="28"/>
                <w:szCs w:val="28"/>
                <w:vertAlign w:val="baseline"/>
              </w:rPr>
              <w:t>治疗</w:t>
            </w:r>
          </w:p>
        </w:tc>
        <w:tc>
          <w:tcPr>
            <w:tcW w:w="1704" w:type="dxa"/>
          </w:tcPr>
          <w:p>
            <w:pPr>
              <w:pStyle w:val="5"/>
              <w:keepNext w:val="0"/>
              <w:keepLines w:val="0"/>
              <w:widowControl/>
              <w:suppressLineNumbers w:val="0"/>
              <w:rPr>
                <w:sz w:val="28"/>
                <w:szCs w:val="28"/>
              </w:rPr>
            </w:pPr>
            <w:r>
              <w:rPr>
                <w:sz w:val="28"/>
                <w:szCs w:val="28"/>
              </w:rPr>
              <w:t>全身:甲硝唑、替硝唑</w:t>
            </w:r>
          </w:p>
          <w:p>
            <w:pPr>
              <w:pStyle w:val="5"/>
              <w:keepNext w:val="0"/>
              <w:keepLines w:val="0"/>
              <w:widowControl/>
              <w:suppressLineNumbers w:val="0"/>
              <w:jc w:val="center"/>
              <w:rPr>
                <w:b/>
                <w:bCs/>
                <w:sz w:val="28"/>
                <w:szCs w:val="28"/>
                <w:vertAlign w:val="baseline"/>
              </w:rPr>
            </w:pPr>
          </w:p>
        </w:tc>
        <w:tc>
          <w:tcPr>
            <w:tcW w:w="1704" w:type="dxa"/>
          </w:tcPr>
          <w:p>
            <w:pPr>
              <w:pStyle w:val="5"/>
              <w:keepNext w:val="0"/>
              <w:keepLines w:val="0"/>
              <w:widowControl/>
              <w:suppressLineNumbers w:val="0"/>
              <w:rPr>
                <w:sz w:val="28"/>
                <w:szCs w:val="28"/>
              </w:rPr>
            </w:pPr>
            <w:r>
              <w:rPr>
                <w:sz w:val="28"/>
                <w:szCs w:val="28"/>
              </w:rPr>
              <w:t>全身和局部:唑类药物</w:t>
            </w:r>
          </w:p>
          <w:p>
            <w:pPr>
              <w:pStyle w:val="5"/>
              <w:keepNext w:val="0"/>
              <w:keepLines w:val="0"/>
              <w:widowControl/>
              <w:suppressLineNumbers w:val="0"/>
              <w:jc w:val="center"/>
              <w:rPr>
                <w:b/>
                <w:bCs/>
                <w:sz w:val="28"/>
                <w:szCs w:val="28"/>
                <w:vertAlign w:val="baseline"/>
              </w:rPr>
            </w:pPr>
          </w:p>
        </w:tc>
        <w:tc>
          <w:tcPr>
            <w:tcW w:w="1705" w:type="dxa"/>
          </w:tcPr>
          <w:p>
            <w:pPr>
              <w:pStyle w:val="5"/>
              <w:keepNext w:val="0"/>
              <w:keepLines w:val="0"/>
              <w:widowControl/>
              <w:suppressLineNumbers w:val="0"/>
              <w:rPr>
                <w:sz w:val="28"/>
                <w:szCs w:val="28"/>
              </w:rPr>
            </w:pPr>
            <w:r>
              <w:rPr>
                <w:sz w:val="28"/>
                <w:szCs w:val="28"/>
              </w:rPr>
              <w:t>全身:甲硝唑</w:t>
            </w:r>
          </w:p>
          <w:p>
            <w:pPr>
              <w:pStyle w:val="5"/>
              <w:keepNext w:val="0"/>
              <w:keepLines w:val="0"/>
              <w:widowControl/>
              <w:suppressLineNumbers w:val="0"/>
              <w:rPr>
                <w:b/>
                <w:bCs/>
                <w:sz w:val="28"/>
                <w:szCs w:val="28"/>
                <w:vertAlign w:val="baseline"/>
              </w:rPr>
            </w:pPr>
            <w:r>
              <w:rPr>
                <w:sz w:val="28"/>
                <w:szCs w:val="28"/>
              </w:rPr>
              <w:t>局部:甲硝唑栓</w:t>
            </w:r>
          </w:p>
        </w:tc>
        <w:tc>
          <w:tcPr>
            <w:tcW w:w="1705" w:type="dxa"/>
          </w:tcPr>
          <w:p>
            <w:pPr>
              <w:pStyle w:val="5"/>
              <w:keepNext w:val="0"/>
              <w:keepLines w:val="0"/>
              <w:widowControl/>
              <w:suppressLineNumbers w:val="0"/>
              <w:rPr>
                <w:sz w:val="28"/>
                <w:szCs w:val="28"/>
              </w:rPr>
            </w:pPr>
            <w:r>
              <w:rPr>
                <w:sz w:val="28"/>
                <w:szCs w:val="28"/>
              </w:rPr>
              <w:t>全身:雌激素</w:t>
            </w:r>
          </w:p>
          <w:p>
            <w:pPr>
              <w:pStyle w:val="5"/>
              <w:keepNext w:val="0"/>
              <w:keepLines w:val="0"/>
              <w:widowControl/>
              <w:suppressLineNumbers w:val="0"/>
              <w:rPr>
                <w:b/>
                <w:bCs/>
                <w:sz w:val="28"/>
                <w:szCs w:val="28"/>
                <w:vertAlign w:val="baseline"/>
              </w:rPr>
            </w:pPr>
            <w:r>
              <w:rPr>
                <w:sz w:val="28"/>
                <w:szCs w:val="28"/>
              </w:rPr>
              <w:t>局部:抗生素</w:t>
            </w:r>
          </w:p>
        </w:tc>
      </w:tr>
    </w:tbl>
    <w:p>
      <w:pPr>
        <w:pStyle w:val="5"/>
        <w:keepNext w:val="0"/>
        <w:keepLines w:val="0"/>
        <w:widowControl/>
        <w:suppressLineNumbers w:val="0"/>
        <w:jc w:val="center"/>
        <w:rPr>
          <w:b/>
          <w:bCs/>
          <w:sz w:val="28"/>
          <w:szCs w:val="28"/>
        </w:rPr>
      </w:pPr>
    </w:p>
    <w:p>
      <w:pPr>
        <w:pStyle w:val="5"/>
        <w:keepNext w:val="0"/>
        <w:keepLines w:val="0"/>
        <w:widowControl/>
        <w:suppressLineNumbers w:val="0"/>
        <w:rPr>
          <w:b/>
          <w:bCs/>
          <w:sz w:val="28"/>
          <w:szCs w:val="28"/>
        </w:rPr>
      </w:pPr>
      <w:r>
        <w:rPr>
          <w:b/>
          <w:bCs/>
          <w:sz w:val="28"/>
          <w:szCs w:val="28"/>
        </w:rPr>
        <w:t>　　考点三十六、缺铁性贫血</w:t>
      </w:r>
    </w:p>
    <w:p>
      <w:pPr>
        <w:pStyle w:val="5"/>
        <w:keepNext w:val="0"/>
        <w:keepLines w:val="0"/>
        <w:widowControl/>
        <w:suppressLineNumbers w:val="0"/>
        <w:rPr>
          <w:sz w:val="28"/>
          <w:szCs w:val="28"/>
        </w:rPr>
      </w:pPr>
      <w:r>
        <w:rPr>
          <w:sz w:val="28"/>
          <w:szCs w:val="28"/>
        </w:rPr>
        <w:t>　　(一)概述</w:t>
      </w:r>
    </w:p>
    <w:p>
      <w:pPr>
        <w:pStyle w:val="5"/>
        <w:keepNext w:val="0"/>
        <w:keepLines w:val="0"/>
        <w:widowControl/>
        <w:suppressLineNumbers w:val="0"/>
        <w:rPr>
          <w:sz w:val="28"/>
          <w:szCs w:val="28"/>
        </w:rPr>
      </w:pPr>
      <w:r>
        <w:rPr>
          <w:sz w:val="28"/>
          <w:szCs w:val="28"/>
        </w:rPr>
        <w:t>　　由于体内铁缺乏，造成血红素合成量减少引起的一种小细胞低色素性贫血，其血清铁蛋白减少、铁剂治疗有效。</w:t>
      </w:r>
    </w:p>
    <w:p>
      <w:pPr>
        <w:pStyle w:val="5"/>
        <w:keepNext w:val="0"/>
        <w:keepLines w:val="0"/>
        <w:widowControl/>
        <w:suppressLineNumbers w:val="0"/>
        <w:rPr>
          <w:sz w:val="28"/>
          <w:szCs w:val="28"/>
        </w:rPr>
      </w:pPr>
      <w:r>
        <w:rPr>
          <w:sz w:val="28"/>
          <w:szCs w:val="28"/>
        </w:rPr>
        <w:t>　　(二)临床表现</w:t>
      </w:r>
    </w:p>
    <w:p>
      <w:pPr>
        <w:pStyle w:val="5"/>
        <w:keepNext w:val="0"/>
        <w:keepLines w:val="0"/>
        <w:widowControl/>
        <w:suppressLineNumbers w:val="0"/>
        <w:rPr>
          <w:sz w:val="28"/>
          <w:szCs w:val="28"/>
        </w:rPr>
      </w:pPr>
      <w:r>
        <w:rPr>
          <w:sz w:val="28"/>
          <w:szCs w:val="28"/>
        </w:rPr>
        <w:t>　　皮肤干燥、毛发无泽、反甲(匙状指)、行为异常、烦躁、易怒、异食癖等。</w:t>
      </w:r>
    </w:p>
    <w:p>
      <w:pPr>
        <w:pStyle w:val="5"/>
        <w:keepNext w:val="0"/>
        <w:keepLines w:val="0"/>
        <w:widowControl/>
        <w:suppressLineNumbers w:val="0"/>
        <w:rPr>
          <w:sz w:val="28"/>
          <w:szCs w:val="28"/>
        </w:rPr>
      </w:pPr>
      <w:r>
        <w:rPr>
          <w:sz w:val="28"/>
          <w:szCs w:val="28"/>
        </w:rPr>
        <w:t>　　(三)治疗原则</w:t>
      </w:r>
    </w:p>
    <w:p>
      <w:pPr>
        <w:pStyle w:val="5"/>
        <w:keepNext w:val="0"/>
        <w:keepLines w:val="0"/>
        <w:widowControl/>
        <w:suppressLineNumbers w:val="0"/>
        <w:rPr>
          <w:sz w:val="28"/>
          <w:szCs w:val="28"/>
        </w:rPr>
      </w:pPr>
      <w:r>
        <w:rPr>
          <w:sz w:val="28"/>
          <w:szCs w:val="28"/>
        </w:rPr>
        <w:t>　　1.原则:祛除病因，补充铁剂。</w:t>
      </w:r>
    </w:p>
    <w:p>
      <w:pPr>
        <w:pStyle w:val="5"/>
        <w:keepNext w:val="0"/>
        <w:keepLines w:val="0"/>
        <w:widowControl/>
        <w:suppressLineNumbers w:val="0"/>
        <w:rPr>
          <w:sz w:val="28"/>
          <w:szCs w:val="28"/>
        </w:rPr>
      </w:pPr>
      <w:r>
        <w:rPr>
          <w:sz w:val="28"/>
          <w:szCs w:val="28"/>
        </w:rPr>
        <w:t>　　铁剂:硫酸亚铁、琥珀酸亚铁;剂量:铁元素 4~6 mg/ (kg</w:t>
      </w:r>
    </w:p>
    <w:p>
      <w:pPr>
        <w:pStyle w:val="5"/>
        <w:keepNext w:val="0"/>
        <w:keepLines w:val="0"/>
        <w:widowControl/>
        <w:suppressLineNumbers w:val="0"/>
        <w:rPr>
          <w:sz w:val="28"/>
          <w:szCs w:val="28"/>
        </w:rPr>
      </w:pPr>
      <w:r>
        <w:rPr>
          <w:sz w:val="28"/>
          <w:szCs w:val="28"/>
        </w:rPr>
        <w:t>　　2.输血:适应证:①贫血严重，尤其是发生心力衰竭者;②合并感染者;③急需外科手术者。 贫血愈严重，每次输注量应愈少。</w:t>
      </w:r>
    </w:p>
    <w:p>
      <w:pPr>
        <w:pStyle w:val="5"/>
        <w:keepNext w:val="0"/>
        <w:keepLines w:val="0"/>
        <w:widowControl/>
        <w:suppressLineNumbers w:val="0"/>
        <w:rPr>
          <w:b/>
          <w:bCs/>
          <w:sz w:val="28"/>
          <w:szCs w:val="28"/>
        </w:rPr>
      </w:pPr>
      <w:r>
        <w:rPr>
          <w:b/>
          <w:bCs/>
          <w:sz w:val="28"/>
          <w:szCs w:val="28"/>
        </w:rPr>
        <w:t>　　考点三十七、甲状腺功能减退症</w:t>
      </w:r>
    </w:p>
    <w:p>
      <w:pPr>
        <w:pStyle w:val="5"/>
        <w:keepNext w:val="0"/>
        <w:keepLines w:val="0"/>
        <w:widowControl/>
        <w:suppressLineNumbers w:val="0"/>
        <w:ind w:firstLine="560"/>
        <w:rPr>
          <w:sz w:val="28"/>
          <w:szCs w:val="28"/>
        </w:rPr>
      </w:pPr>
      <w:r>
        <w:rPr>
          <w:sz w:val="28"/>
          <w:szCs w:val="28"/>
        </w:rPr>
        <w:t>甲状腺功能减退症简称甲减，是因各种原因引起的甲状腺激素合成、分泌或作用障碍所致的内分泌疾病。</w:t>
      </w:r>
    </w:p>
    <w:p>
      <w:pPr>
        <w:pStyle w:val="5"/>
        <w:keepNext w:val="0"/>
        <w:keepLines w:val="0"/>
        <w:widowControl/>
        <w:suppressLineNumbers w:val="0"/>
        <w:ind w:firstLine="560"/>
        <w:rPr>
          <w:sz w:val="28"/>
          <w:szCs w:val="28"/>
        </w:rPr>
      </w:pPr>
      <w:r>
        <w:rPr>
          <w:sz w:val="28"/>
          <w:szCs w:val="28"/>
        </w:rPr>
        <w:t>血 TSH↑是原发性甲减最敏感的诊断指标。</w:t>
      </w:r>
    </w:p>
    <w:p>
      <w:pPr>
        <w:pStyle w:val="5"/>
        <w:keepNext w:val="0"/>
        <w:keepLines w:val="0"/>
        <w:widowControl/>
        <w:suppressLineNumbers w:val="0"/>
        <w:rPr>
          <w:sz w:val="28"/>
          <w:szCs w:val="28"/>
        </w:rPr>
      </w:pPr>
      <w:r>
        <w:rPr>
          <w:sz w:val="28"/>
          <w:szCs w:val="28"/>
        </w:rPr>
        <w:t>　　原发性甲减的病变部位在甲状腺，甲状腺过氧化物酶抗体(TPOAb)阳性提示自身免疫性甲状腺炎;继发性甲减:促甲状腺激素释放激素(TRH)兴奋试验，TSH 升高为下丘脑性、TSH 不升高为垂体性。</w:t>
      </w:r>
    </w:p>
    <w:p>
      <w:pPr>
        <w:pStyle w:val="5"/>
        <w:keepNext w:val="0"/>
        <w:keepLines w:val="0"/>
        <w:widowControl/>
        <w:suppressLineNumbers w:val="0"/>
        <w:rPr>
          <w:b/>
          <w:bCs/>
          <w:sz w:val="28"/>
          <w:szCs w:val="28"/>
        </w:rPr>
      </w:pPr>
      <w:r>
        <w:rPr>
          <w:b/>
          <w:bCs/>
          <w:sz w:val="28"/>
          <w:szCs w:val="28"/>
        </w:rPr>
        <w:t>　　考点三十八、糖尿病</w:t>
      </w:r>
    </w:p>
    <w:p>
      <w:pPr>
        <w:pStyle w:val="5"/>
        <w:keepNext w:val="0"/>
        <w:keepLines w:val="0"/>
        <w:widowControl/>
        <w:suppressLineNumbers w:val="0"/>
        <w:rPr>
          <w:sz w:val="28"/>
          <w:szCs w:val="28"/>
        </w:rPr>
      </w:pPr>
      <w:r>
        <w:rPr>
          <w:sz w:val="28"/>
          <w:szCs w:val="28"/>
        </w:rPr>
        <w:t>　　(一)概述</w:t>
      </w:r>
    </w:p>
    <w:p>
      <w:pPr>
        <w:pStyle w:val="5"/>
        <w:keepNext w:val="0"/>
        <w:keepLines w:val="0"/>
        <w:widowControl/>
        <w:suppressLineNumbers w:val="0"/>
        <w:rPr>
          <w:sz w:val="28"/>
          <w:szCs w:val="28"/>
        </w:rPr>
      </w:pPr>
      <w:r>
        <w:rPr>
          <w:sz w:val="28"/>
          <w:szCs w:val="28"/>
        </w:rPr>
        <w:t>　　1.1 型糖尿病　在我国约占 5%，由于胰岛 β细胞破坏，引起胰岛素绝对缺乏。 多见于青少年，起病急，代谢紊乱症状明显，患者需注射胰岛素以维持生命。</w:t>
      </w:r>
    </w:p>
    <w:p>
      <w:pPr>
        <w:pStyle w:val="5"/>
        <w:keepNext w:val="0"/>
        <w:keepLines w:val="0"/>
        <w:widowControl/>
        <w:suppressLineNumbers w:val="0"/>
        <w:rPr>
          <w:sz w:val="28"/>
          <w:szCs w:val="28"/>
        </w:rPr>
      </w:pPr>
      <w:r>
        <w:rPr>
          <w:sz w:val="28"/>
          <w:szCs w:val="28"/>
        </w:rPr>
        <w:t>　　2.2 型糖尿病　在我国约占 93.7%。 患者均有不同程度的胰岛素抵抗和胰岛素分泌缺陷，多数为超重或肥胖者;多见于成年人。 此型糖尿病的遗传易感性较 1 型强。</w:t>
      </w:r>
    </w:p>
    <w:p>
      <w:pPr>
        <w:pStyle w:val="5"/>
        <w:keepNext w:val="0"/>
        <w:keepLines w:val="0"/>
        <w:widowControl/>
        <w:suppressLineNumbers w:val="0"/>
        <w:rPr>
          <w:sz w:val="28"/>
          <w:szCs w:val="28"/>
        </w:rPr>
      </w:pPr>
      <w:r>
        <w:rPr>
          <w:sz w:val="28"/>
          <w:szCs w:val="28"/>
        </w:rPr>
        <w:t>　　3.特殊类型糖尿病　按病因和发病机制可分 8 种亚型。</w:t>
      </w:r>
    </w:p>
    <w:p>
      <w:pPr>
        <w:pStyle w:val="5"/>
        <w:keepNext w:val="0"/>
        <w:keepLines w:val="0"/>
        <w:widowControl/>
        <w:suppressLineNumbers w:val="0"/>
        <w:rPr>
          <w:sz w:val="28"/>
          <w:szCs w:val="28"/>
        </w:rPr>
      </w:pPr>
      <w:r>
        <w:rPr>
          <w:sz w:val="28"/>
          <w:szCs w:val="28"/>
        </w:rPr>
        <w:t>　　4.妊娠期糖尿病　妊娠期发生糖尿病者。 已知有糖尿病而妊娠者不包括在内。</w:t>
      </w:r>
    </w:p>
    <w:p>
      <w:pPr>
        <w:pStyle w:val="5"/>
        <w:keepNext w:val="0"/>
        <w:keepLines w:val="0"/>
        <w:widowControl/>
        <w:suppressLineNumbers w:val="0"/>
        <w:rPr>
          <w:sz w:val="28"/>
          <w:szCs w:val="28"/>
        </w:rPr>
      </w:pPr>
      <w:r>
        <w:rPr>
          <w:sz w:val="28"/>
          <w:szCs w:val="28"/>
        </w:rPr>
        <w:t>　　(二)临床表现</w:t>
      </w:r>
    </w:p>
    <w:p>
      <w:pPr>
        <w:pStyle w:val="5"/>
        <w:keepNext w:val="0"/>
        <w:keepLines w:val="0"/>
        <w:widowControl/>
        <w:suppressLineNumbers w:val="0"/>
        <w:rPr>
          <w:sz w:val="28"/>
          <w:szCs w:val="28"/>
        </w:rPr>
      </w:pPr>
      <w:r>
        <w:rPr>
          <w:sz w:val="28"/>
          <w:szCs w:val="28"/>
        </w:rPr>
        <w:t>　　1.一般症状　为多尿、多饮、多食和体重减轻(“三多一少”)。 1 型糖尿病起病较急，病情较重，症状明显;2型糖尿病起病隐匿缓慢，症状不明显，甚至无任何症状，多经体检发现。</w:t>
      </w:r>
    </w:p>
    <w:p>
      <w:pPr>
        <w:pStyle w:val="5"/>
        <w:keepNext w:val="0"/>
        <w:keepLines w:val="0"/>
        <w:widowControl/>
        <w:suppressLineNumbers w:val="0"/>
        <w:rPr>
          <w:sz w:val="28"/>
          <w:szCs w:val="28"/>
        </w:rPr>
      </w:pPr>
      <w:r>
        <w:rPr>
          <w:sz w:val="28"/>
          <w:szCs w:val="28"/>
        </w:rPr>
        <w:t>　　2.糖尿病的并发症　包括慢性并发症和急性并发症。 有各种感染，慢性并发症血管病变、神经病变等，少数患者以糖尿病酮症酸中毒或高渗性非酮性糖尿病昏迷为首发表现。</w:t>
      </w:r>
    </w:p>
    <w:p>
      <w:pPr>
        <w:pStyle w:val="5"/>
        <w:keepNext w:val="0"/>
        <w:keepLines w:val="0"/>
        <w:widowControl/>
        <w:suppressLineNumbers w:val="0"/>
        <w:rPr>
          <w:sz w:val="28"/>
          <w:szCs w:val="28"/>
        </w:rPr>
      </w:pPr>
      <w:r>
        <w:rPr>
          <w:sz w:val="28"/>
          <w:szCs w:val="28"/>
        </w:rPr>
        <w:t>　　慢性并发症:</w:t>
      </w:r>
      <w:bookmarkStart w:id="0" w:name="_GoBack"/>
      <w:bookmarkEnd w:id="0"/>
    </w:p>
    <w:p>
      <w:pPr>
        <w:pStyle w:val="5"/>
        <w:keepNext w:val="0"/>
        <w:keepLines w:val="0"/>
        <w:widowControl/>
        <w:suppressLineNumbers w:val="0"/>
        <w:rPr>
          <w:sz w:val="28"/>
          <w:szCs w:val="28"/>
        </w:rPr>
      </w:pPr>
      <w:r>
        <w:rPr>
          <w:sz w:val="28"/>
          <w:szCs w:val="28"/>
        </w:rPr>
        <w:t>　　(1)大血管病变:糖尿病患者发生心血管疾病的危险性为非糖尿病患者的 2~4 倍，而且其病变发病年龄早、广泛、严重和预后差，心脑血管疾病是 2 型糖尿病最主要死亡原因。</w:t>
      </w:r>
    </w:p>
    <w:p>
      <w:pPr>
        <w:pStyle w:val="5"/>
        <w:keepNext w:val="0"/>
        <w:keepLines w:val="0"/>
        <w:widowControl/>
        <w:suppressLineNumbers w:val="0"/>
        <w:rPr>
          <w:sz w:val="28"/>
          <w:szCs w:val="28"/>
        </w:rPr>
      </w:pPr>
      <w:r>
        <w:rPr>
          <w:sz w:val="28"/>
          <w:szCs w:val="28"/>
        </w:rPr>
        <w:t>　　(2)糖尿病肾病:主要表现为蛋白尿、水肿及高血压，血清肌酐、尿素氮升高，最终发生肾衰竭。</w:t>
      </w:r>
    </w:p>
    <w:p>
      <w:pPr>
        <w:pStyle w:val="5"/>
        <w:keepNext w:val="0"/>
        <w:keepLines w:val="0"/>
        <w:widowControl/>
        <w:suppressLineNumbers w:val="0"/>
        <w:rPr>
          <w:sz w:val="28"/>
          <w:szCs w:val="28"/>
        </w:rPr>
      </w:pPr>
      <w:r>
        <w:rPr>
          <w:sz w:val="28"/>
          <w:szCs w:val="28"/>
        </w:rPr>
        <w:t>　　(3)糖尿病性神经病变:包括周围神经和自主神经病变。</w:t>
      </w:r>
    </w:p>
    <w:p>
      <w:pPr>
        <w:pStyle w:val="5"/>
        <w:keepNext w:val="0"/>
        <w:keepLines w:val="0"/>
        <w:widowControl/>
        <w:suppressLineNumbers w:val="0"/>
        <w:rPr>
          <w:sz w:val="28"/>
          <w:szCs w:val="28"/>
        </w:rPr>
      </w:pPr>
      <w:r>
        <w:rPr>
          <w:sz w:val="28"/>
          <w:szCs w:val="28"/>
        </w:rPr>
        <w:t>　　(4)糖尿病性视网膜病变:是导致患者失明的主要原因之一，按眼底受损程度可分为早期非增殖型视网膜病变和晚期增殖性视网膜病变。</w:t>
      </w:r>
    </w:p>
    <w:p>
      <w:pPr>
        <w:pStyle w:val="5"/>
        <w:keepNext w:val="0"/>
        <w:keepLines w:val="0"/>
        <w:widowControl/>
        <w:suppressLineNumbers w:val="0"/>
        <w:rPr>
          <w:sz w:val="28"/>
          <w:szCs w:val="28"/>
        </w:rPr>
      </w:pPr>
      <w:r>
        <w:rPr>
          <w:sz w:val="28"/>
          <w:szCs w:val="28"/>
        </w:rPr>
        <w:t>　　(三)糖尿病的诊断</w:t>
      </w:r>
    </w:p>
    <w:p>
      <w:pPr>
        <w:pStyle w:val="5"/>
        <w:keepNext w:val="0"/>
        <w:keepLines w:val="0"/>
        <w:widowControl/>
        <w:suppressLineNumbers w:val="0"/>
        <w:rPr>
          <w:sz w:val="28"/>
          <w:szCs w:val="28"/>
        </w:rPr>
      </w:pPr>
      <w:r>
        <w:rPr>
          <w:sz w:val="28"/>
          <w:szCs w:val="28"/>
        </w:rPr>
        <w:t>　　1.空腹血浆葡萄糖(FPG)&lt;6.0 mmol/ L(110 mg/ dL)为正常，≥6.0~ &lt;7.0 mmol/ L(≥110~ &lt;126 mg/ dL)为空腹血糖受损(IFG)，≥7.0 mmol/ L(126 mg/ dL)为糖尿病。</w:t>
      </w:r>
    </w:p>
    <w:p>
      <w:pPr>
        <w:pStyle w:val="5"/>
        <w:keepNext w:val="0"/>
        <w:keepLines w:val="0"/>
        <w:widowControl/>
        <w:suppressLineNumbers w:val="0"/>
        <w:rPr>
          <w:sz w:val="28"/>
          <w:szCs w:val="28"/>
        </w:rPr>
      </w:pPr>
      <w:r>
        <w:rPr>
          <w:sz w:val="28"/>
          <w:szCs w:val="28"/>
        </w:rPr>
        <w:t>　　2.葡萄糖耐量试验(OGTT)中 2 小时血浆葡萄糖(2hPG) &lt;7.8mmol/ L(140 mg/ dL)为正常，≥7.8 ~ &lt;11.1 mmol/ L(≥140~ &lt;200 mg/ dL)为糖耐量减低(IGT)。</w:t>
      </w:r>
    </w:p>
    <w:p>
      <w:pPr>
        <w:pStyle w:val="5"/>
        <w:keepNext w:val="0"/>
        <w:keepLines w:val="0"/>
        <w:widowControl/>
        <w:suppressLineNumbers w:val="0"/>
        <w:rPr>
          <w:sz w:val="28"/>
          <w:szCs w:val="28"/>
        </w:rPr>
      </w:pPr>
      <w:r>
        <w:rPr>
          <w:sz w:val="28"/>
          <w:szCs w:val="28"/>
        </w:rPr>
        <w:t>　　3.糖尿病的诊断标准　 糖尿病症状+随机血糖≥11.1 mmol/ L(200 mg/ dL)，或 FPG≥7.0 mmol/ L(126 mg/ dL)，或 OGTT 中 2hPG≥11.1 mmol/ L(200 mg/ dL)。</w:t>
      </w:r>
    </w:p>
    <w:p>
      <w:pPr>
        <w:pStyle w:val="5"/>
        <w:keepNext w:val="0"/>
        <w:keepLines w:val="0"/>
        <w:widowControl/>
        <w:suppressLineNumbers w:val="0"/>
        <w:rPr>
          <w:sz w:val="28"/>
          <w:szCs w:val="28"/>
        </w:rPr>
      </w:pPr>
      <w:r>
        <w:rPr>
          <w:sz w:val="28"/>
          <w:szCs w:val="28"/>
        </w:rPr>
        <w:t>　　4.血糖升高是诊断糖尿病的主要根据。 尿糖阳性是诊断糖尿病的重要线索，但不作为糖尿病诊断指标。</w:t>
      </w:r>
    </w:p>
    <w:p>
      <w:pPr>
        <w:pStyle w:val="5"/>
        <w:keepNext w:val="0"/>
        <w:keepLines w:val="0"/>
        <w:widowControl/>
        <w:suppressLineNumbers w:val="0"/>
        <w:rPr>
          <w:sz w:val="28"/>
          <w:szCs w:val="28"/>
        </w:rPr>
      </w:pPr>
      <w:r>
        <w:rPr>
          <w:sz w:val="28"/>
          <w:szCs w:val="28"/>
        </w:rPr>
        <w:t>　　(四)糖尿病的鉴别诊断</w:t>
      </w:r>
    </w:p>
    <w:p>
      <w:pPr>
        <w:pStyle w:val="5"/>
        <w:keepNext w:val="0"/>
        <w:keepLines w:val="0"/>
        <w:widowControl/>
        <w:suppressLineNumbers w:val="0"/>
        <w:rPr>
          <w:sz w:val="28"/>
          <w:szCs w:val="28"/>
        </w:rPr>
      </w:pPr>
      <w:r>
        <w:rPr>
          <w:sz w:val="28"/>
          <w:szCs w:val="28"/>
        </w:rPr>
        <w:t>　　1.尿糖阳性要与肾性糖尿、食后糖尿和应激性糖尿相鉴别。</w:t>
      </w:r>
    </w:p>
    <w:p>
      <w:pPr>
        <w:pStyle w:val="5"/>
        <w:keepNext w:val="0"/>
        <w:keepLines w:val="0"/>
        <w:widowControl/>
        <w:suppressLineNumbers w:val="0"/>
        <w:rPr>
          <w:sz w:val="28"/>
          <w:szCs w:val="28"/>
        </w:rPr>
      </w:pPr>
      <w:r>
        <w:rPr>
          <w:sz w:val="28"/>
          <w:szCs w:val="28"/>
        </w:rPr>
        <w:t>　　2.药物对糖耐量的影响　噻嗪类利尿剂、呋塞米、糖皮质激素、避孕药、阿司匹林、吲哚美辛、氟哌啶醇等可以使血糖增高，尿糖阳性。</w:t>
      </w:r>
    </w:p>
    <w:p>
      <w:pPr>
        <w:pStyle w:val="5"/>
        <w:keepNext w:val="0"/>
        <w:keepLines w:val="0"/>
        <w:widowControl/>
        <w:suppressLineNumbers w:val="0"/>
        <w:rPr>
          <w:sz w:val="28"/>
          <w:szCs w:val="28"/>
        </w:rPr>
      </w:pPr>
      <w:r>
        <w:rPr>
          <w:sz w:val="28"/>
          <w:szCs w:val="28"/>
        </w:rPr>
        <w:t>　　3.新发生糖尿病的老人，需做 B 超，以除外胰腺癌所致糖代谢异常。</w:t>
      </w:r>
    </w:p>
    <w:p>
      <w:pPr>
        <w:pStyle w:val="5"/>
        <w:keepNext w:val="0"/>
        <w:keepLines w:val="0"/>
        <w:widowControl/>
        <w:suppressLineNumbers w:val="0"/>
        <w:rPr>
          <w:sz w:val="28"/>
          <w:szCs w:val="28"/>
        </w:rPr>
      </w:pPr>
      <w:r>
        <w:rPr>
          <w:sz w:val="28"/>
          <w:szCs w:val="28"/>
        </w:rPr>
        <w:t>　　(五)治疗原则</w:t>
      </w:r>
    </w:p>
    <w:p>
      <w:pPr>
        <w:pStyle w:val="5"/>
        <w:keepNext w:val="0"/>
        <w:keepLines w:val="0"/>
        <w:widowControl/>
        <w:suppressLineNumbers w:val="0"/>
        <w:rPr>
          <w:sz w:val="28"/>
          <w:szCs w:val="28"/>
        </w:rPr>
      </w:pPr>
      <w:r>
        <w:rPr>
          <w:sz w:val="28"/>
          <w:szCs w:val="28"/>
        </w:rPr>
        <w:t>　　治疗原则有 5 个:糖尿病教育、饮食治疗、运动治疗、合理用药及自我监测。</w:t>
      </w:r>
    </w:p>
    <w:p>
      <w:pPr>
        <w:pStyle w:val="5"/>
        <w:keepNext w:val="0"/>
        <w:keepLines w:val="0"/>
        <w:widowControl/>
        <w:suppressLineNumbers w:val="0"/>
        <w:rPr>
          <w:sz w:val="28"/>
          <w:szCs w:val="28"/>
        </w:rPr>
      </w:pPr>
      <w:r>
        <w:rPr>
          <w:sz w:val="28"/>
          <w:szCs w:val="28"/>
        </w:rPr>
        <w:t>　　1.对患者和家属进行教育　是糖尿病重要的基本治疗措施之一。 家庭成员、特别是配偶也应参与，成为家庭保健员。近来开始重视糖尿病的同伴教育，糖尿病患者小组式管理往往比医务人员教育的效果更好。 教育内容可根据管理的对象而定。</w:t>
      </w:r>
    </w:p>
    <w:p>
      <w:pPr>
        <w:pStyle w:val="5"/>
        <w:keepNext w:val="0"/>
        <w:keepLines w:val="0"/>
        <w:widowControl/>
        <w:suppressLineNumbers w:val="0"/>
        <w:rPr>
          <w:sz w:val="28"/>
          <w:szCs w:val="28"/>
        </w:rPr>
      </w:pPr>
      <w:r>
        <w:rPr>
          <w:sz w:val="28"/>
          <w:szCs w:val="28"/>
        </w:rPr>
        <w:t>　　2.饮食治疗　是基础治疗，应长期执行，并随病情改变而更改。 糖尿病患者饮食治疗的总目标是控制每日摄入的总热量。</w:t>
      </w:r>
    </w:p>
    <w:p>
      <w:pPr>
        <w:pStyle w:val="5"/>
        <w:keepNext w:val="0"/>
        <w:keepLines w:val="0"/>
        <w:widowControl/>
        <w:suppressLineNumbers w:val="0"/>
        <w:rPr>
          <w:sz w:val="28"/>
          <w:szCs w:val="28"/>
        </w:rPr>
      </w:pPr>
      <w:r>
        <w:rPr>
          <w:sz w:val="28"/>
          <w:szCs w:val="28"/>
        </w:rPr>
        <w:t>　　3.运动治疗　运动可增强机体对胰岛素的敏感性。</w:t>
      </w:r>
    </w:p>
    <w:p>
      <w:pPr>
        <w:pStyle w:val="5"/>
        <w:keepNext w:val="0"/>
        <w:keepLines w:val="0"/>
        <w:widowControl/>
        <w:suppressLineNumbers w:val="0"/>
        <w:rPr>
          <w:sz w:val="28"/>
          <w:szCs w:val="28"/>
        </w:rPr>
      </w:pPr>
      <w:r>
        <w:rPr>
          <w:sz w:val="28"/>
          <w:szCs w:val="28"/>
        </w:rPr>
        <w:t>　　(六)药物治疗</w:t>
      </w:r>
    </w:p>
    <w:p>
      <w:pPr>
        <w:pStyle w:val="5"/>
        <w:keepNext w:val="0"/>
        <w:keepLines w:val="0"/>
        <w:widowControl/>
        <w:suppressLineNumbers w:val="0"/>
        <w:rPr>
          <w:sz w:val="28"/>
          <w:szCs w:val="28"/>
        </w:rPr>
      </w:pPr>
      <w:r>
        <w:rPr>
          <w:sz w:val="28"/>
          <w:szCs w:val="28"/>
        </w:rPr>
        <w:t>　　(1)口服降糖药</w:t>
      </w:r>
    </w:p>
    <w:p>
      <w:pPr>
        <w:pStyle w:val="5"/>
        <w:keepNext w:val="0"/>
        <w:keepLines w:val="0"/>
        <w:widowControl/>
        <w:suppressLineNumbers w:val="0"/>
        <w:rPr>
          <w:sz w:val="28"/>
          <w:szCs w:val="28"/>
        </w:rPr>
      </w:pPr>
      <w:r>
        <w:rPr>
          <w:sz w:val="28"/>
          <w:szCs w:val="28"/>
        </w:rPr>
        <w:t>　　1)双胍类药物:常用药物为二甲双胍，适用于肥胖或超重的 2 型糖尿病患者。 1 型糖尿病患者在使用胰岛素治疗的基础上如血糖波动较大者，加用双胍类药物有利于稳定病情。</w:t>
      </w:r>
    </w:p>
    <w:p>
      <w:pPr>
        <w:pStyle w:val="5"/>
        <w:keepNext w:val="0"/>
        <w:keepLines w:val="0"/>
        <w:widowControl/>
        <w:suppressLineNumbers w:val="0"/>
        <w:rPr>
          <w:sz w:val="28"/>
          <w:szCs w:val="28"/>
        </w:rPr>
      </w:pPr>
      <w:r>
        <w:rPr>
          <w:sz w:val="28"/>
          <w:szCs w:val="28"/>
        </w:rPr>
        <w:t>　　2)磺脲类药物:常用药物有格列本脲、格列齐特、格列吡嗪、格列喹酮和格列美脲等。 磺脲类药物为促胰岛素分泌剂，主要通过增加胰岛素的分泌降低血糖。 适宜不太肥胖的 2 型糖尿病患者。 常见不良反应为低血糖。</w:t>
      </w:r>
    </w:p>
    <w:p>
      <w:pPr>
        <w:pStyle w:val="5"/>
        <w:keepNext w:val="0"/>
        <w:keepLines w:val="0"/>
        <w:widowControl/>
        <w:suppressLineNumbers w:val="0"/>
        <w:rPr>
          <w:sz w:val="28"/>
          <w:szCs w:val="28"/>
        </w:rPr>
      </w:pPr>
      <w:r>
        <w:rPr>
          <w:sz w:val="28"/>
          <w:szCs w:val="28"/>
        </w:rPr>
        <w:t>　　3)格列奈类药物:常用药物有瑞格列奈和那格列奈。 常见不良反应也是低血糖。</w:t>
      </w:r>
    </w:p>
    <w:p>
      <w:pPr>
        <w:pStyle w:val="5"/>
        <w:keepNext w:val="0"/>
        <w:keepLines w:val="0"/>
        <w:widowControl/>
        <w:suppressLineNumbers w:val="0"/>
        <w:rPr>
          <w:sz w:val="28"/>
          <w:szCs w:val="28"/>
        </w:rPr>
      </w:pPr>
      <w:r>
        <w:rPr>
          <w:sz w:val="28"/>
          <w:szCs w:val="28"/>
        </w:rPr>
        <w:t>　　4)α-葡萄糖苷酶抑制剂:常用药物有阿卡波糖和伏格列波糖。 适用于餐后高血糖为主要表现的患者。</w:t>
      </w:r>
    </w:p>
    <w:p>
      <w:pPr>
        <w:pStyle w:val="5"/>
        <w:keepNext w:val="0"/>
        <w:keepLines w:val="0"/>
        <w:widowControl/>
        <w:suppressLineNumbers w:val="0"/>
        <w:rPr>
          <w:sz w:val="28"/>
          <w:szCs w:val="28"/>
        </w:rPr>
      </w:pPr>
      <w:r>
        <w:rPr>
          <w:sz w:val="28"/>
          <w:szCs w:val="28"/>
        </w:rPr>
        <w:t>　　(2)胰岛素治疗</w:t>
      </w:r>
    </w:p>
    <w:p>
      <w:pPr>
        <w:pStyle w:val="5"/>
        <w:keepNext w:val="0"/>
        <w:keepLines w:val="0"/>
        <w:widowControl/>
        <w:suppressLineNumbers w:val="0"/>
        <w:rPr>
          <w:sz w:val="28"/>
          <w:szCs w:val="28"/>
        </w:rPr>
      </w:pPr>
      <w:r>
        <w:rPr>
          <w:sz w:val="28"/>
          <w:szCs w:val="28"/>
        </w:rPr>
        <w:t>　　适应证:①1 型糖尿病;②2 型糖尿病，口服降糖药效果不良;③糖尿病急性并发症;④合并重症感染;⑤大手术前后;⑥伴较重糖尿病慢性并发症;⑦糖尿病妊娠期或妊娠糖尿病患者;⑧全胰腺切除引起的继发性糖尿病，营养不良相关糖尿病。</w:t>
      </w:r>
    </w:p>
    <w:p>
      <w:pPr>
        <w:pStyle w:val="5"/>
        <w:keepNext w:val="0"/>
        <w:keepLines w:val="0"/>
        <w:widowControl/>
        <w:suppressLineNumbers w:val="0"/>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180D5A"/>
    <w:rsid w:val="030E2367"/>
    <w:rsid w:val="0394644A"/>
    <w:rsid w:val="083E7249"/>
    <w:rsid w:val="08A83CC2"/>
    <w:rsid w:val="0AD43D0C"/>
    <w:rsid w:val="0C5A3BCA"/>
    <w:rsid w:val="0D425078"/>
    <w:rsid w:val="0DB60335"/>
    <w:rsid w:val="0F2136B0"/>
    <w:rsid w:val="0FA22F84"/>
    <w:rsid w:val="0FA67C0B"/>
    <w:rsid w:val="10A635B8"/>
    <w:rsid w:val="11D529B0"/>
    <w:rsid w:val="12092086"/>
    <w:rsid w:val="1701022C"/>
    <w:rsid w:val="1A8067CE"/>
    <w:rsid w:val="265D579A"/>
    <w:rsid w:val="279428D1"/>
    <w:rsid w:val="2A216151"/>
    <w:rsid w:val="2DDF652B"/>
    <w:rsid w:val="2DFC5FBC"/>
    <w:rsid w:val="2F020F34"/>
    <w:rsid w:val="2FDC5E89"/>
    <w:rsid w:val="31400FE2"/>
    <w:rsid w:val="3257612B"/>
    <w:rsid w:val="33AB1A5E"/>
    <w:rsid w:val="37991F62"/>
    <w:rsid w:val="3AE00AEB"/>
    <w:rsid w:val="3B8064B4"/>
    <w:rsid w:val="3CFB04C1"/>
    <w:rsid w:val="3E74294E"/>
    <w:rsid w:val="3F1A221B"/>
    <w:rsid w:val="40BF55ED"/>
    <w:rsid w:val="40DE1750"/>
    <w:rsid w:val="41024A57"/>
    <w:rsid w:val="4737418B"/>
    <w:rsid w:val="4A942723"/>
    <w:rsid w:val="4B0502C4"/>
    <w:rsid w:val="4B4A7AF0"/>
    <w:rsid w:val="4BBA02F3"/>
    <w:rsid w:val="4DB56E60"/>
    <w:rsid w:val="50AF567B"/>
    <w:rsid w:val="5715451A"/>
    <w:rsid w:val="587F0204"/>
    <w:rsid w:val="59D06B4E"/>
    <w:rsid w:val="59E01C3C"/>
    <w:rsid w:val="5C8D3F36"/>
    <w:rsid w:val="5CC17502"/>
    <w:rsid w:val="5E361E60"/>
    <w:rsid w:val="5F6433E0"/>
    <w:rsid w:val="60271ECB"/>
    <w:rsid w:val="6094196D"/>
    <w:rsid w:val="62971965"/>
    <w:rsid w:val="66D25C14"/>
    <w:rsid w:val="66FB1BBD"/>
    <w:rsid w:val="67BD400C"/>
    <w:rsid w:val="692360A4"/>
    <w:rsid w:val="6BA56793"/>
    <w:rsid w:val="6C880918"/>
    <w:rsid w:val="6DD72378"/>
    <w:rsid w:val="6F642AC0"/>
    <w:rsid w:val="71266FBC"/>
    <w:rsid w:val="73DC2906"/>
    <w:rsid w:val="749954E8"/>
    <w:rsid w:val="75BE3177"/>
    <w:rsid w:val="788547A9"/>
    <w:rsid w:val="796A1F43"/>
    <w:rsid w:val="7CC14811"/>
    <w:rsid w:val="7DC833CF"/>
    <w:rsid w:val="7E3F2DF6"/>
    <w:rsid w:val="7F390EB0"/>
    <w:rsid w:val="7F7E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2018-01-04T01:35:42Z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