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DB8" w:rsidRDefault="00B04BD2"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201</w:t>
      </w:r>
      <w:r w:rsidR="00280E05">
        <w:rPr>
          <w:rFonts w:ascii="宋体" w:hAnsi="宋体" w:hint="eastAsia"/>
          <w:b/>
          <w:sz w:val="24"/>
          <w:szCs w:val="24"/>
        </w:rPr>
        <w:t>9</w:t>
      </w:r>
      <w:r>
        <w:rPr>
          <w:rFonts w:ascii="宋体" w:hAnsi="宋体" w:hint="eastAsia"/>
          <w:b/>
          <w:sz w:val="24"/>
          <w:szCs w:val="24"/>
        </w:rPr>
        <w:t>年临床执业医师《预防医学》考试大纲</w:t>
      </w:r>
    </w:p>
    <w:p w:rsidR="00593DB8" w:rsidRDefault="00B04BD2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201</w:t>
      </w:r>
      <w:bookmarkStart w:id="0" w:name="_GoBack"/>
      <w:bookmarkEnd w:id="0"/>
      <w:r w:rsidR="00280E05">
        <w:rPr>
          <w:rFonts w:ascii="宋体" w:hAnsi="宋体" w:hint="eastAsia"/>
          <w:sz w:val="24"/>
          <w:szCs w:val="24"/>
        </w:rPr>
        <w:t>9年</w:t>
      </w:r>
      <w:r>
        <w:rPr>
          <w:rFonts w:ascii="宋体" w:hAnsi="宋体" w:hint="eastAsia"/>
          <w:sz w:val="24"/>
          <w:szCs w:val="24"/>
        </w:rPr>
        <w:t>临床执业医师《预防医学》考试大纲已经顺利公布，请广大临床执业医师考生参考：</w:t>
      </w:r>
    </w:p>
    <w:tbl>
      <w:tblPr>
        <w:tblW w:w="9306" w:type="dxa"/>
        <w:jc w:val="center"/>
        <w:tblCellSpacing w:w="0" w:type="dxa"/>
        <w:tblInd w:w="-9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066"/>
        <w:gridCol w:w="2695"/>
        <w:gridCol w:w="5545"/>
      </w:tblGrid>
      <w:tr w:rsidR="00593DB8">
        <w:trPr>
          <w:tblCellSpacing w:w="0" w:type="dxa"/>
          <w:jc w:val="center"/>
        </w:trPr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单元</w:t>
            </w: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细目</w:t>
            </w:r>
          </w:p>
        </w:tc>
        <w:tc>
          <w:tcPr>
            <w:tcW w:w="5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要点</w:t>
            </w:r>
          </w:p>
        </w:tc>
      </w:tr>
      <w:tr w:rsidR="00593DB8">
        <w:trPr>
          <w:tblCellSpacing w:w="0" w:type="dxa"/>
          <w:jc w:val="center"/>
        </w:trPr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一、绪论</w:t>
            </w: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593DB8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）预防医学的概述：定义、内容、特点、意义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）健康及其影响因素：当代健康观、影响健康的主要因素、健康决定因素生态学模型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）三级预防策略：疾病自然史与预防机会；三级预防策略：第一级预防、第二级预防、第三级预防</w:t>
            </w:r>
          </w:p>
        </w:tc>
      </w:tr>
      <w:tr w:rsidR="00593DB8">
        <w:trPr>
          <w:tblCellSpacing w:w="0" w:type="dxa"/>
          <w:jc w:val="center"/>
        </w:trPr>
        <w:tc>
          <w:tcPr>
            <w:tcW w:w="10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二、医学统计学方法</w:t>
            </w: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基本概念和基本步骤</w:t>
            </w:r>
          </w:p>
        </w:tc>
        <w:tc>
          <w:tcPr>
            <w:tcW w:w="5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）统计学中的几个基本概念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）统计工作的基本步骤</w:t>
            </w:r>
          </w:p>
        </w:tc>
      </w:tr>
      <w:tr w:rsidR="00593DB8">
        <w:trPr>
          <w:tblCellSpacing w:w="0" w:type="dxa"/>
          <w:jc w:val="center"/>
        </w:trPr>
        <w:tc>
          <w:tcPr>
            <w:tcW w:w="10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593DB8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定量资料的统计描述</w:t>
            </w:r>
          </w:p>
        </w:tc>
        <w:tc>
          <w:tcPr>
            <w:tcW w:w="5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）集中趋势指标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）离散趋势指标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）正态分布的特点与面积分布规律　</w:t>
            </w:r>
          </w:p>
        </w:tc>
      </w:tr>
      <w:tr w:rsidR="00593DB8">
        <w:trPr>
          <w:tblCellSpacing w:w="0" w:type="dxa"/>
          <w:jc w:val="center"/>
        </w:trPr>
        <w:tc>
          <w:tcPr>
            <w:tcW w:w="10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593DB8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</w:t>
            </w:r>
            <w:r>
              <w:rPr>
                <w:rFonts w:ascii="宋体" w:hAnsi="宋体" w:hint="eastAsia"/>
                <w:sz w:val="24"/>
                <w:szCs w:val="24"/>
              </w:rPr>
              <w:t>定量资料的统计推断</w:t>
            </w:r>
          </w:p>
        </w:tc>
        <w:tc>
          <w:tcPr>
            <w:tcW w:w="5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）均数的抽样误差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）总体均数可信区间及其估计方法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）假设检验的基本步骤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</w:t>
            </w:r>
            <w:r>
              <w:rPr>
                <w:rFonts w:ascii="宋体" w:hAnsi="宋体" w:hint="eastAsia"/>
                <w:sz w:val="24"/>
                <w:szCs w:val="24"/>
              </w:rPr>
              <w:t>Z</w:t>
            </w:r>
            <w:r>
              <w:rPr>
                <w:rFonts w:ascii="宋体" w:hAnsi="宋体" w:hint="eastAsia"/>
                <w:sz w:val="24"/>
                <w:szCs w:val="24"/>
              </w:rPr>
              <w:t>检验和</w:t>
            </w:r>
            <w:r>
              <w:rPr>
                <w:rFonts w:ascii="宋体" w:hAnsi="宋体" w:hint="eastAsia"/>
                <w:sz w:val="24"/>
                <w:szCs w:val="24"/>
              </w:rPr>
              <w:t>t</w:t>
            </w:r>
            <w:r>
              <w:rPr>
                <w:rFonts w:ascii="宋体" w:hAnsi="宋体" w:hint="eastAsia"/>
                <w:sz w:val="24"/>
                <w:szCs w:val="24"/>
              </w:rPr>
              <w:t>检验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）假设检验的两类错误及注意事项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6</w:t>
            </w:r>
            <w:r>
              <w:rPr>
                <w:rFonts w:ascii="宋体" w:hAnsi="宋体" w:hint="eastAsia"/>
                <w:sz w:val="24"/>
                <w:szCs w:val="24"/>
              </w:rPr>
              <w:t>）方差分析</w:t>
            </w:r>
          </w:p>
        </w:tc>
      </w:tr>
      <w:tr w:rsidR="00593DB8">
        <w:trPr>
          <w:tblCellSpacing w:w="0" w:type="dxa"/>
          <w:jc w:val="center"/>
        </w:trPr>
        <w:tc>
          <w:tcPr>
            <w:tcW w:w="10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593DB8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</w:t>
            </w:r>
            <w:r>
              <w:rPr>
                <w:rFonts w:ascii="宋体" w:hAnsi="宋体" w:hint="eastAsia"/>
                <w:sz w:val="24"/>
                <w:szCs w:val="24"/>
              </w:rPr>
              <w:t>分类资料的统计描述</w:t>
            </w:r>
          </w:p>
        </w:tc>
        <w:tc>
          <w:tcPr>
            <w:tcW w:w="5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）相对数常用指标及其意义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）相对数应用注意事项</w:t>
            </w:r>
          </w:p>
        </w:tc>
      </w:tr>
      <w:tr w:rsidR="00593DB8">
        <w:trPr>
          <w:tblCellSpacing w:w="0" w:type="dxa"/>
          <w:jc w:val="center"/>
        </w:trPr>
        <w:tc>
          <w:tcPr>
            <w:tcW w:w="10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593DB8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5.</w:t>
            </w:r>
            <w:r>
              <w:rPr>
                <w:rFonts w:ascii="宋体" w:hAnsi="宋体" w:hint="eastAsia"/>
                <w:sz w:val="24"/>
                <w:szCs w:val="24"/>
              </w:rPr>
              <w:t>分类资料的统计推断</w:t>
            </w:r>
          </w:p>
        </w:tc>
        <w:tc>
          <w:tcPr>
            <w:tcW w:w="5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）率的抽样误差、总体率的可信区间及其估计方法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</w:t>
            </w:r>
            <w:r>
              <w:rPr>
                <w:rFonts w:ascii="宋体" w:hAnsi="宋体" w:hint="eastAsia"/>
                <w:sz w:val="24"/>
                <w:szCs w:val="24"/>
              </w:rPr>
              <w:t>Z</w:t>
            </w:r>
            <w:r>
              <w:rPr>
                <w:rFonts w:ascii="宋体" w:hAnsi="宋体" w:hint="eastAsia"/>
                <w:sz w:val="24"/>
                <w:szCs w:val="24"/>
              </w:rPr>
              <w:t>检验和χ</w:t>
            </w:r>
            <w:r>
              <w:rPr>
                <w:rFonts w:ascii="宋体" w:hAnsi="宋体" w:hint="eastAsia"/>
                <w:sz w:val="24"/>
                <w:szCs w:val="24"/>
                <w:vertAlign w:val="superscript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检验</w:t>
            </w:r>
          </w:p>
        </w:tc>
      </w:tr>
      <w:tr w:rsidR="00593DB8">
        <w:trPr>
          <w:tblCellSpacing w:w="0" w:type="dxa"/>
          <w:jc w:val="center"/>
        </w:trPr>
        <w:tc>
          <w:tcPr>
            <w:tcW w:w="10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593DB8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6.</w:t>
            </w:r>
            <w:r>
              <w:rPr>
                <w:rFonts w:ascii="宋体" w:hAnsi="宋体" w:hint="eastAsia"/>
                <w:sz w:val="24"/>
                <w:szCs w:val="24"/>
              </w:rPr>
              <w:t>秩和检验</w:t>
            </w:r>
          </w:p>
        </w:tc>
        <w:tc>
          <w:tcPr>
            <w:tcW w:w="5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）配对资料的符号秩和检验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）两样本比较秩和检验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）多样本比较秩和检验</w:t>
            </w:r>
          </w:p>
        </w:tc>
      </w:tr>
      <w:tr w:rsidR="00593DB8">
        <w:trPr>
          <w:tblCellSpacing w:w="0" w:type="dxa"/>
          <w:jc w:val="center"/>
        </w:trPr>
        <w:tc>
          <w:tcPr>
            <w:tcW w:w="10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593DB8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7.</w:t>
            </w:r>
            <w:r>
              <w:rPr>
                <w:rFonts w:ascii="宋体" w:hAnsi="宋体" w:hint="eastAsia"/>
                <w:sz w:val="24"/>
                <w:szCs w:val="24"/>
              </w:rPr>
              <w:t>直线相关和回归</w:t>
            </w:r>
          </w:p>
        </w:tc>
        <w:tc>
          <w:tcPr>
            <w:tcW w:w="5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）直线相关分析的用途，相关系数及其意义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）直线回归分析的作用，回归系数及其意义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）直线回归与相关应用的注意事项</w:t>
            </w:r>
          </w:p>
        </w:tc>
      </w:tr>
      <w:tr w:rsidR="00593DB8">
        <w:trPr>
          <w:tblCellSpacing w:w="0" w:type="dxa"/>
          <w:jc w:val="center"/>
        </w:trPr>
        <w:tc>
          <w:tcPr>
            <w:tcW w:w="10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593DB8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8.Logistic</w:t>
            </w:r>
            <w:r>
              <w:rPr>
                <w:rFonts w:ascii="宋体" w:hAnsi="宋体" w:hint="eastAsia"/>
                <w:sz w:val="24"/>
                <w:szCs w:val="24"/>
              </w:rPr>
              <w:t>回归分析</w:t>
            </w:r>
          </w:p>
        </w:tc>
        <w:tc>
          <w:tcPr>
            <w:tcW w:w="5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</w:t>
            </w:r>
            <w:r>
              <w:rPr>
                <w:rFonts w:ascii="宋体" w:hAnsi="宋体" w:hint="eastAsia"/>
                <w:sz w:val="24"/>
                <w:szCs w:val="24"/>
              </w:rPr>
              <w:t>logistic</w:t>
            </w:r>
            <w:r>
              <w:rPr>
                <w:rFonts w:ascii="宋体" w:hAnsi="宋体" w:hint="eastAsia"/>
                <w:sz w:val="24"/>
                <w:szCs w:val="24"/>
              </w:rPr>
              <w:t>回归分析基本概念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</w:t>
            </w:r>
            <w:r>
              <w:rPr>
                <w:rFonts w:ascii="宋体" w:hAnsi="宋体" w:hint="eastAsia"/>
                <w:sz w:val="24"/>
                <w:szCs w:val="24"/>
              </w:rPr>
              <w:t>logistic</w:t>
            </w:r>
            <w:r>
              <w:rPr>
                <w:rFonts w:ascii="宋体" w:hAnsi="宋体" w:hint="eastAsia"/>
                <w:sz w:val="24"/>
                <w:szCs w:val="24"/>
              </w:rPr>
              <w:t>回归适用条件</w:t>
            </w:r>
          </w:p>
        </w:tc>
      </w:tr>
      <w:tr w:rsidR="00593DB8">
        <w:trPr>
          <w:tblCellSpacing w:w="0" w:type="dxa"/>
          <w:jc w:val="center"/>
        </w:trPr>
        <w:tc>
          <w:tcPr>
            <w:tcW w:w="10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593DB8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9.</w:t>
            </w:r>
            <w:r>
              <w:rPr>
                <w:rFonts w:ascii="宋体" w:hAnsi="宋体" w:hint="eastAsia"/>
                <w:sz w:val="24"/>
                <w:szCs w:val="24"/>
              </w:rPr>
              <w:t>生存分析</w:t>
            </w:r>
          </w:p>
        </w:tc>
        <w:tc>
          <w:tcPr>
            <w:tcW w:w="5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）生存分析的基本概念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）生存分析适用条件</w:t>
            </w:r>
          </w:p>
        </w:tc>
      </w:tr>
      <w:tr w:rsidR="00593DB8">
        <w:trPr>
          <w:tblCellSpacing w:w="0" w:type="dxa"/>
          <w:jc w:val="center"/>
        </w:trPr>
        <w:tc>
          <w:tcPr>
            <w:tcW w:w="10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593DB8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10.</w:t>
            </w:r>
            <w:r>
              <w:rPr>
                <w:rFonts w:ascii="宋体" w:hAnsi="宋体" w:hint="eastAsia"/>
                <w:sz w:val="24"/>
                <w:szCs w:val="24"/>
              </w:rPr>
              <w:t>统计表和统计图</w:t>
            </w:r>
          </w:p>
        </w:tc>
        <w:tc>
          <w:tcPr>
            <w:tcW w:w="5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）统计表的基本结构和要求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）统计图形的类型、选择及制图通则</w:t>
            </w:r>
          </w:p>
        </w:tc>
      </w:tr>
      <w:tr w:rsidR="00593DB8">
        <w:trPr>
          <w:tblCellSpacing w:w="0" w:type="dxa"/>
          <w:jc w:val="center"/>
        </w:trPr>
        <w:tc>
          <w:tcPr>
            <w:tcW w:w="10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三、流行病学原理和方法</w:t>
            </w: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流行病学概论</w:t>
            </w:r>
          </w:p>
        </w:tc>
        <w:tc>
          <w:tcPr>
            <w:tcW w:w="5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）流行病学的定义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）流行病学的原理、基本原则及方法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）流行病学的用途</w:t>
            </w:r>
          </w:p>
        </w:tc>
      </w:tr>
      <w:tr w:rsidR="00593DB8">
        <w:trPr>
          <w:tblCellSpacing w:w="0" w:type="dxa"/>
          <w:jc w:val="center"/>
        </w:trPr>
        <w:tc>
          <w:tcPr>
            <w:tcW w:w="10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593DB8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流行病学资料的来源与疾病分布</w:t>
            </w:r>
          </w:p>
        </w:tc>
        <w:tc>
          <w:tcPr>
            <w:tcW w:w="5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）健康相关资料的来源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）疾病分布的常用测量指标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）疾病流行强度：散发、暴发、流行、大流行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）疾病三间分布</w:t>
            </w:r>
          </w:p>
        </w:tc>
      </w:tr>
      <w:tr w:rsidR="00593DB8">
        <w:trPr>
          <w:tblCellSpacing w:w="0" w:type="dxa"/>
          <w:jc w:val="center"/>
        </w:trPr>
        <w:tc>
          <w:tcPr>
            <w:tcW w:w="10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593DB8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</w:t>
            </w:r>
            <w:r>
              <w:rPr>
                <w:rFonts w:ascii="宋体" w:hAnsi="宋体" w:hint="eastAsia"/>
                <w:sz w:val="24"/>
                <w:szCs w:val="24"/>
              </w:rPr>
              <w:t>常用流行病学研究方法</w:t>
            </w:r>
          </w:p>
        </w:tc>
        <w:tc>
          <w:tcPr>
            <w:tcW w:w="5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）流行病学方法分类及研究设计的基本内容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）描述流行病学：描述流行病学的概念；现况研究的概念、普查与抽样调查的概念、抽样方法及样本含量的估计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分析流行病学：分析流行病学的概念及分类；病例对照研究的概念、研究对象的选择、样本含量的估计及资料的统计分析、优点和局限性；队列研究的概念、用途、种类、研究对象的选择、样本含量的估计、资料分析、优点及局限性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）实验流行病学：实验流行病学的概念、基本特征、分类；临床试验的概念及设计</w:t>
            </w:r>
          </w:p>
        </w:tc>
      </w:tr>
      <w:tr w:rsidR="00593DB8">
        <w:trPr>
          <w:tblCellSpacing w:w="0" w:type="dxa"/>
          <w:jc w:val="center"/>
        </w:trPr>
        <w:tc>
          <w:tcPr>
            <w:tcW w:w="10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593DB8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</w:t>
            </w:r>
            <w:r>
              <w:rPr>
                <w:rFonts w:ascii="宋体" w:hAnsi="宋体" w:hint="eastAsia"/>
                <w:sz w:val="24"/>
                <w:szCs w:val="24"/>
              </w:rPr>
              <w:t>偏倚控制及病因推断</w:t>
            </w:r>
          </w:p>
        </w:tc>
        <w:tc>
          <w:tcPr>
            <w:tcW w:w="5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）流行病学研究的偏倚：概念；选择性偏倚、信</w:t>
            </w:r>
            <w:r>
              <w:rPr>
                <w:rFonts w:ascii="宋体" w:hAnsi="宋体" w:hint="eastAsia"/>
                <w:sz w:val="24"/>
                <w:szCs w:val="24"/>
              </w:rPr>
              <w:lastRenderedPageBreak/>
              <w:t>息偏倚、混杂偏倚；偏倚的控制方法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）病因及其推断：病因的概念、类型，病因研究的基本方法及因果关系判断标准</w:t>
            </w:r>
          </w:p>
        </w:tc>
      </w:tr>
      <w:tr w:rsidR="00593DB8">
        <w:trPr>
          <w:tblCellSpacing w:w="0" w:type="dxa"/>
          <w:jc w:val="center"/>
        </w:trPr>
        <w:tc>
          <w:tcPr>
            <w:tcW w:w="10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593DB8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5.</w:t>
            </w:r>
            <w:r>
              <w:rPr>
                <w:rFonts w:ascii="宋体" w:hAnsi="宋体" w:hint="eastAsia"/>
                <w:sz w:val="24"/>
                <w:szCs w:val="24"/>
              </w:rPr>
              <w:t>诊断试验和筛检试验</w:t>
            </w:r>
          </w:p>
        </w:tc>
        <w:tc>
          <w:tcPr>
            <w:tcW w:w="5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  <w:r>
              <w:rPr>
                <w:rFonts w:ascii="宋体" w:hAnsi="宋体" w:hint="eastAsia"/>
                <w:sz w:val="24"/>
                <w:szCs w:val="24"/>
              </w:rPr>
              <w:t>试验和筛检试验的概念、目的、应用原则及区别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）诊断试验和筛检试验的评价方法和评价指标评价方法；评价指标：评价真实性的指标、评价可靠性的指标、评价收益的指标；确定试验判断标准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）提高试验效率的方法</w:t>
            </w:r>
          </w:p>
        </w:tc>
      </w:tr>
      <w:tr w:rsidR="00593DB8">
        <w:trPr>
          <w:tblCellSpacing w:w="0" w:type="dxa"/>
          <w:jc w:val="center"/>
        </w:trPr>
        <w:tc>
          <w:tcPr>
            <w:tcW w:w="10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593DB8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6.</w:t>
            </w:r>
            <w:r>
              <w:rPr>
                <w:rFonts w:ascii="宋体" w:hAnsi="宋体" w:hint="eastAsia"/>
                <w:sz w:val="24"/>
                <w:szCs w:val="24"/>
              </w:rPr>
              <w:t>公共卫生监测</w:t>
            </w:r>
          </w:p>
        </w:tc>
        <w:tc>
          <w:tcPr>
            <w:tcW w:w="5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）公共卫生监测概述：定义、目的、种类、程序以及监测系统的评价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）疾病监测：概念、我国主要的疾病监测方法：被动监测、主动监测、常规报告、哨点监测；我国疾病监测体系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）药物不良反应监测：药物不良反应的概念、药物不良反应监测的概念和方法及药物不良反应因果关系评价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）疾病暴发的调查与分析</w:t>
            </w:r>
          </w:p>
        </w:tc>
      </w:tr>
      <w:tr w:rsidR="00593DB8">
        <w:trPr>
          <w:tblCellSpacing w:w="0" w:type="dxa"/>
          <w:jc w:val="center"/>
        </w:trPr>
        <w:tc>
          <w:tcPr>
            <w:tcW w:w="10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593DB8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7.</w:t>
            </w:r>
            <w:r>
              <w:rPr>
                <w:rFonts w:ascii="宋体" w:hAnsi="宋体" w:hint="eastAsia"/>
                <w:sz w:val="24"/>
                <w:szCs w:val="24"/>
              </w:rPr>
              <w:t>循证医学</w:t>
            </w:r>
          </w:p>
        </w:tc>
        <w:tc>
          <w:tcPr>
            <w:tcW w:w="5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）基本概念</w:t>
            </w:r>
          </w:p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）循证医学的基本过程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）证据的主要类型</w:t>
            </w:r>
          </w:p>
        </w:tc>
      </w:tr>
      <w:tr w:rsidR="00593DB8">
        <w:trPr>
          <w:tblCellSpacing w:w="0" w:type="dxa"/>
          <w:jc w:val="center"/>
        </w:trPr>
        <w:tc>
          <w:tcPr>
            <w:tcW w:w="106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四、临床预防服务</w:t>
            </w: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临床预防服务概述</w:t>
            </w:r>
          </w:p>
        </w:tc>
        <w:tc>
          <w:tcPr>
            <w:tcW w:w="5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）临床预防服务的概念：临床预防服务于健康管理的定义，临床预防服务的内容、意义及实施原则</w:t>
            </w:r>
          </w:p>
          <w:p w:rsidR="00593DB8" w:rsidRDefault="00B04BD2"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）健康危险因素评估</w:t>
            </w:r>
          </w:p>
          <w:p w:rsidR="00593DB8" w:rsidRDefault="00B04BD2"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）健康维护计划的制订与实施</w:t>
            </w:r>
          </w:p>
        </w:tc>
      </w:tr>
      <w:tr w:rsidR="00593DB8">
        <w:trPr>
          <w:tblCellSpacing w:w="0" w:type="dxa"/>
          <w:jc w:val="center"/>
        </w:trPr>
        <w:tc>
          <w:tcPr>
            <w:tcW w:w="1066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93DB8" w:rsidRDefault="00593DB8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健康相关行为干预</w:t>
            </w:r>
          </w:p>
        </w:tc>
        <w:tc>
          <w:tcPr>
            <w:tcW w:w="5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）健康行为、健康教育、健康促进</w:t>
            </w:r>
          </w:p>
          <w:p w:rsidR="00593DB8" w:rsidRDefault="00B04BD2"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）影响健康行为因素与行为改变理论：影响健康行为的因素；健康信念模式、行为改变阶段模式、社</w:t>
            </w:r>
            <w:r>
              <w:rPr>
                <w:rFonts w:ascii="宋体" w:hAnsi="宋体" w:hint="eastAsia"/>
                <w:sz w:val="24"/>
                <w:szCs w:val="24"/>
              </w:rPr>
              <w:lastRenderedPageBreak/>
              <w:t>会认知理论</w:t>
            </w:r>
          </w:p>
          <w:p w:rsidR="00593DB8" w:rsidRDefault="00B04BD2"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）健康自询的基本模式——</w:t>
            </w:r>
            <w:r>
              <w:rPr>
                <w:rFonts w:ascii="宋体" w:hAnsi="宋体" w:hint="eastAsia"/>
                <w:sz w:val="24"/>
                <w:szCs w:val="24"/>
              </w:rPr>
              <w:t>5A</w:t>
            </w:r>
            <w:r>
              <w:rPr>
                <w:rFonts w:ascii="宋体" w:hAnsi="宋体" w:hint="eastAsia"/>
                <w:sz w:val="24"/>
                <w:szCs w:val="24"/>
              </w:rPr>
              <w:t>模式：健康咨询的原则</w:t>
            </w:r>
          </w:p>
        </w:tc>
      </w:tr>
      <w:tr w:rsidR="00593DB8">
        <w:trPr>
          <w:tblCellSpacing w:w="0" w:type="dxa"/>
          <w:jc w:val="center"/>
        </w:trPr>
        <w:tc>
          <w:tcPr>
            <w:tcW w:w="1066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93DB8" w:rsidRDefault="00593DB8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</w:t>
            </w:r>
            <w:r>
              <w:rPr>
                <w:rFonts w:ascii="宋体" w:hAnsi="宋体" w:hint="eastAsia"/>
                <w:sz w:val="24"/>
                <w:szCs w:val="24"/>
              </w:rPr>
              <w:t>烟草使用的控制</w:t>
            </w:r>
          </w:p>
        </w:tc>
        <w:tc>
          <w:tcPr>
            <w:tcW w:w="5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）烟草使用与二手烟流行：定义、水平及分布</w:t>
            </w:r>
          </w:p>
          <w:p w:rsidR="00593DB8" w:rsidRDefault="00B04BD2"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）烟草使用与二手烟流行对健康的只要危害及机理</w:t>
            </w:r>
          </w:p>
          <w:p w:rsidR="00593DB8" w:rsidRDefault="00B04BD2"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）烟草成瘾干预：烟草依赖疾病的概念、临床戒烟指导及常用戒烟药物</w:t>
            </w:r>
          </w:p>
          <w:p w:rsidR="00593DB8" w:rsidRDefault="00B04BD2"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）人群烟草控制策略：烟草控制框架公约（</w:t>
            </w:r>
            <w:r>
              <w:rPr>
                <w:rFonts w:ascii="宋体" w:hAnsi="宋体" w:hint="eastAsia"/>
                <w:sz w:val="24"/>
                <w:szCs w:val="24"/>
              </w:rPr>
              <w:t>FCTC</w:t>
            </w:r>
            <w:r>
              <w:rPr>
                <w:rFonts w:ascii="宋体" w:hAnsi="宋体" w:hint="eastAsia"/>
                <w:sz w:val="24"/>
                <w:szCs w:val="24"/>
              </w:rPr>
              <w:t>）与控制策略（</w:t>
            </w:r>
            <w:r>
              <w:rPr>
                <w:rFonts w:ascii="宋体" w:hAnsi="宋体" w:hint="eastAsia"/>
                <w:sz w:val="24"/>
                <w:szCs w:val="24"/>
              </w:rPr>
              <w:t>MPOWER</w:t>
            </w:r>
            <w:r>
              <w:rPr>
                <w:rFonts w:ascii="宋体" w:hAnsi="宋体" w:hint="eastAsia"/>
                <w:sz w:val="24"/>
                <w:szCs w:val="24"/>
              </w:rPr>
              <w:t>）</w:t>
            </w:r>
          </w:p>
        </w:tc>
      </w:tr>
      <w:tr w:rsidR="00593DB8">
        <w:trPr>
          <w:tblCellSpacing w:w="0" w:type="dxa"/>
          <w:jc w:val="center"/>
        </w:trPr>
        <w:tc>
          <w:tcPr>
            <w:tcW w:w="1066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93DB8" w:rsidRDefault="00593DB8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</w:t>
            </w:r>
            <w:r>
              <w:rPr>
                <w:rFonts w:ascii="宋体" w:hAnsi="宋体" w:hint="eastAsia"/>
                <w:sz w:val="24"/>
                <w:szCs w:val="24"/>
              </w:rPr>
              <w:t>合理营养指导</w:t>
            </w:r>
          </w:p>
        </w:tc>
        <w:tc>
          <w:tcPr>
            <w:tcW w:w="5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）合理营养：营养、营养素、能量、膳食营养素参考摄入量概述，平衡膳食的概念及基本要求，中国居民膳食指南</w:t>
            </w:r>
          </w:p>
          <w:p w:rsidR="00593DB8" w:rsidRDefault="00B04BD2"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）特殊人群营养指导：孕妇和乳母的营养、婴幼儿营养、</w:t>
            </w:r>
            <w:r w:rsidR="00280E05" w:rsidRPr="00280E05">
              <w:rPr>
                <w:rFonts w:ascii="宋体" w:hAnsi="宋体" w:hint="eastAsia"/>
                <w:color w:val="FF0000"/>
                <w:sz w:val="24"/>
                <w:szCs w:val="24"/>
              </w:rPr>
              <w:t>儿童营养</w:t>
            </w:r>
            <w:r w:rsidR="00280E05">
              <w:rPr>
                <w:rFonts w:ascii="宋体" w:hAnsi="宋体" w:hint="eastAsia"/>
                <w:sz w:val="24"/>
                <w:szCs w:val="24"/>
              </w:rPr>
              <w:t>、</w:t>
            </w:r>
            <w:r>
              <w:rPr>
                <w:rFonts w:ascii="宋体" w:hAnsi="宋体" w:hint="eastAsia"/>
                <w:sz w:val="24"/>
                <w:szCs w:val="24"/>
              </w:rPr>
              <w:t>老年人营养</w:t>
            </w:r>
            <w:r w:rsidR="00280E05">
              <w:rPr>
                <w:rFonts w:ascii="宋体" w:hAnsi="宋体" w:hint="eastAsia"/>
                <w:sz w:val="24"/>
                <w:szCs w:val="24"/>
              </w:rPr>
              <w:t>、</w:t>
            </w:r>
            <w:r w:rsidR="00280E05" w:rsidRPr="00280E05">
              <w:rPr>
                <w:rFonts w:ascii="宋体" w:hAnsi="宋体" w:hint="eastAsia"/>
                <w:color w:val="FF0000"/>
                <w:sz w:val="24"/>
                <w:szCs w:val="24"/>
              </w:rPr>
              <w:t>素食人群营养</w:t>
            </w:r>
          </w:p>
          <w:p w:rsidR="00593DB8" w:rsidRDefault="00B04BD2"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）临床营养：基本膳食、治疗膳食</w:t>
            </w:r>
          </w:p>
          <w:p w:rsidR="00593DB8" w:rsidRDefault="00B04BD2"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）人群营养状况评价及干预策略：膳食调查方法、人群营养评价指标、人群营养干预策略</w:t>
            </w:r>
          </w:p>
        </w:tc>
      </w:tr>
      <w:tr w:rsidR="00593DB8">
        <w:trPr>
          <w:tblCellSpacing w:w="0" w:type="dxa"/>
          <w:jc w:val="center"/>
        </w:trPr>
        <w:tc>
          <w:tcPr>
            <w:tcW w:w="1066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93DB8" w:rsidRDefault="00593DB8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5.</w:t>
            </w:r>
            <w:r>
              <w:rPr>
                <w:rFonts w:ascii="宋体" w:hAnsi="宋体" w:hint="eastAsia"/>
                <w:sz w:val="24"/>
                <w:szCs w:val="24"/>
              </w:rPr>
              <w:t>身体活动促进</w:t>
            </w:r>
          </w:p>
        </w:tc>
        <w:tc>
          <w:tcPr>
            <w:tcW w:w="5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）身体活动的概念：身体活动、体适能、身体活动分类、身体活动强度及衡量方法、身体活动总量</w:t>
            </w:r>
          </w:p>
          <w:p w:rsidR="00593DB8" w:rsidRDefault="00B04BD2"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）身体活动与健康：身体活动的健康益处；身体活动伤害；有益健康的身体活动推荐量</w:t>
            </w:r>
          </w:p>
          <w:p w:rsidR="00593DB8" w:rsidRDefault="00B04BD2"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）临床场所身体活动指导：运动处方、制定个体化运动处方的原则及步骤、单纯性肥胖运动处方、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型糖尿病运动处方、原发性高血压运动处方、运动安全指导</w:t>
            </w:r>
          </w:p>
          <w:p w:rsidR="00593DB8" w:rsidRDefault="00B04BD2"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）人群身体活动的促进：人群身体活动评价量表及分级、人群身体活动影响因素、人群身体活动促进</w:t>
            </w:r>
            <w:r>
              <w:rPr>
                <w:rFonts w:ascii="宋体" w:hAnsi="宋体" w:hint="eastAsia"/>
                <w:sz w:val="24"/>
                <w:szCs w:val="24"/>
              </w:rPr>
              <w:lastRenderedPageBreak/>
              <w:t>策略</w:t>
            </w:r>
          </w:p>
        </w:tc>
      </w:tr>
      <w:tr w:rsidR="00593DB8">
        <w:trPr>
          <w:tblCellSpacing w:w="0" w:type="dxa"/>
          <w:jc w:val="center"/>
        </w:trPr>
        <w:tc>
          <w:tcPr>
            <w:tcW w:w="106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593DB8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6.</w:t>
            </w:r>
            <w:r>
              <w:rPr>
                <w:rFonts w:ascii="宋体" w:hAnsi="宋体" w:hint="eastAsia"/>
                <w:sz w:val="24"/>
                <w:szCs w:val="24"/>
              </w:rPr>
              <w:t>疾病的早期发现与处理</w:t>
            </w:r>
          </w:p>
        </w:tc>
        <w:tc>
          <w:tcPr>
            <w:tcW w:w="5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）疾病的早期发现的方法：疾病普查方法、机会性筛检方法</w:t>
            </w:r>
          </w:p>
          <w:p w:rsidR="00593DB8" w:rsidRDefault="00B04BD2"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）临床场所疾病筛检的方法与原则</w:t>
            </w:r>
          </w:p>
          <w:p w:rsidR="00593DB8" w:rsidRDefault="00B04BD2"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）疾病筛检结果的判读及处理原则</w:t>
            </w:r>
          </w:p>
        </w:tc>
      </w:tr>
      <w:tr w:rsidR="00593DB8">
        <w:trPr>
          <w:tblCellSpacing w:w="0" w:type="dxa"/>
          <w:jc w:val="center"/>
        </w:trPr>
        <w:tc>
          <w:tcPr>
            <w:tcW w:w="10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五、社区公共卫生</w:t>
            </w: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传染病的预防与控制</w:t>
            </w:r>
          </w:p>
        </w:tc>
        <w:tc>
          <w:tcPr>
            <w:tcW w:w="5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）传染病预防控制的策略与措施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）计划免疫：计划免疫的定义及疫苗的效果评价</w:t>
            </w:r>
          </w:p>
        </w:tc>
      </w:tr>
      <w:tr w:rsidR="00593DB8">
        <w:trPr>
          <w:tblCellSpacing w:w="0" w:type="dxa"/>
          <w:jc w:val="center"/>
        </w:trPr>
        <w:tc>
          <w:tcPr>
            <w:tcW w:w="10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593DB8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慢性非传染性疾病的预防与管理</w:t>
            </w:r>
          </w:p>
        </w:tc>
        <w:tc>
          <w:tcPr>
            <w:tcW w:w="5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）慢性非传染性疾病的流行现状及防治策略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）慢性非传染性疾病的管理：疾病的管理概念，慢性非传染性疾病管理的原则，慢性病自我管理</w:t>
            </w:r>
          </w:p>
        </w:tc>
      </w:tr>
      <w:tr w:rsidR="00593DB8">
        <w:trPr>
          <w:tblCellSpacing w:w="0" w:type="dxa"/>
          <w:jc w:val="center"/>
        </w:trPr>
        <w:tc>
          <w:tcPr>
            <w:tcW w:w="10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593DB8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环境卫生</w:t>
            </w:r>
          </w:p>
        </w:tc>
        <w:tc>
          <w:tcPr>
            <w:tcW w:w="5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）环境卫生的概念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）环境污染及其来源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）环境有害因素对健康的危害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）环境污染物的危害度评价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）环境有害因素的预防与控制</w:t>
            </w:r>
          </w:p>
        </w:tc>
      </w:tr>
      <w:tr w:rsidR="00593DB8">
        <w:trPr>
          <w:tblCellSpacing w:w="0" w:type="dxa"/>
          <w:jc w:val="center"/>
        </w:trPr>
        <w:tc>
          <w:tcPr>
            <w:tcW w:w="10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593DB8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</w:t>
            </w:r>
            <w:r>
              <w:rPr>
                <w:rFonts w:ascii="宋体" w:hAnsi="宋体" w:hint="eastAsia"/>
                <w:sz w:val="24"/>
                <w:szCs w:val="24"/>
              </w:rPr>
              <w:t>职业卫生服务与职业病管理</w:t>
            </w:r>
          </w:p>
        </w:tc>
        <w:tc>
          <w:tcPr>
            <w:tcW w:w="5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）职业性有害因素：定义、分类及其对健康的危害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）职业卫生服务：概念、实施的原则及核心内容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）职业人群健康监护：概念、职业人群健康检查、职业环境监测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）职业病：概念、特点、诊断、报告、处理及预防管理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）工作有关疾病</w:t>
            </w:r>
          </w:p>
        </w:tc>
      </w:tr>
      <w:tr w:rsidR="00593DB8">
        <w:trPr>
          <w:tblCellSpacing w:w="0" w:type="dxa"/>
          <w:jc w:val="center"/>
        </w:trPr>
        <w:tc>
          <w:tcPr>
            <w:tcW w:w="10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593DB8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5.</w:t>
            </w:r>
            <w:r>
              <w:rPr>
                <w:rFonts w:ascii="宋体" w:hAnsi="宋体" w:hint="eastAsia"/>
                <w:sz w:val="24"/>
                <w:szCs w:val="24"/>
              </w:rPr>
              <w:t>食品安全与食物中毒</w:t>
            </w:r>
          </w:p>
        </w:tc>
        <w:tc>
          <w:tcPr>
            <w:tcW w:w="5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）食品安全：食源性疾病、食品中常见污染物及其危害、食品添加剂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）食物中毒：定义、分类和特点；常见细菌性食物中毒；化学性食物中毒；有毒动植物食物中毒；真菌毒素和霉变食品中毒；食物中毒调查与处理</w:t>
            </w:r>
          </w:p>
        </w:tc>
      </w:tr>
      <w:tr w:rsidR="00593DB8">
        <w:trPr>
          <w:tblCellSpacing w:w="0" w:type="dxa"/>
          <w:jc w:val="center"/>
        </w:trPr>
        <w:tc>
          <w:tcPr>
            <w:tcW w:w="10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593DB8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6.</w:t>
            </w:r>
            <w:r>
              <w:rPr>
                <w:rFonts w:ascii="宋体" w:hAnsi="宋体" w:hint="eastAsia"/>
                <w:sz w:val="24"/>
                <w:szCs w:val="24"/>
              </w:rPr>
              <w:t>医疗场所健康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t>安全管理</w:t>
            </w:r>
          </w:p>
        </w:tc>
        <w:tc>
          <w:tcPr>
            <w:tcW w:w="5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）医院常见健康有害因素及其来源：医院专业因素、医院环境因素、医院管理因素及医院社会因素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）医院安全防范措施：患者安全防范措施、医务人员安全防范措施</w:t>
            </w:r>
          </w:p>
        </w:tc>
      </w:tr>
      <w:tr w:rsidR="00593DB8">
        <w:trPr>
          <w:tblCellSpacing w:w="0" w:type="dxa"/>
          <w:jc w:val="center"/>
        </w:trPr>
        <w:tc>
          <w:tcPr>
            <w:tcW w:w="10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593DB8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7.</w:t>
            </w:r>
            <w:r>
              <w:rPr>
                <w:rFonts w:ascii="宋体" w:hAnsi="宋体" w:hint="eastAsia"/>
                <w:sz w:val="24"/>
                <w:szCs w:val="24"/>
              </w:rPr>
              <w:t>突发公共卫生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t>事件及其应急策略</w:t>
            </w:r>
          </w:p>
        </w:tc>
        <w:tc>
          <w:tcPr>
            <w:tcW w:w="5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）突发公共卫生事件的概念、分类和应急预案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）群体不明原因疾病的应急处理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）急性化学中毒的应急处理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）电离辐射损伤的应急处理</w:t>
            </w:r>
          </w:p>
        </w:tc>
      </w:tr>
      <w:tr w:rsidR="00593DB8">
        <w:trPr>
          <w:tblCellSpacing w:w="0" w:type="dxa"/>
          <w:jc w:val="center"/>
        </w:trPr>
        <w:tc>
          <w:tcPr>
            <w:tcW w:w="10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六、卫生服务体系与卫生管理</w:t>
            </w: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卫生系统及其功能</w:t>
            </w:r>
          </w:p>
        </w:tc>
        <w:tc>
          <w:tcPr>
            <w:tcW w:w="5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）卫生系统与卫生组织结构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）公共卫生体系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）医疗保健体系</w:t>
            </w:r>
          </w:p>
        </w:tc>
      </w:tr>
      <w:tr w:rsidR="00593DB8">
        <w:trPr>
          <w:tblCellSpacing w:w="0" w:type="dxa"/>
          <w:jc w:val="center"/>
        </w:trPr>
        <w:tc>
          <w:tcPr>
            <w:tcW w:w="10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593DB8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医疗保险</w:t>
            </w:r>
          </w:p>
        </w:tc>
        <w:tc>
          <w:tcPr>
            <w:tcW w:w="5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）医疗保险概述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）我国医疗保障体系</w:t>
            </w:r>
            <w:r>
              <w:rPr>
                <w:rFonts w:ascii="宋体" w:hAnsi="宋体" w:hint="eastAsia"/>
                <w:sz w:val="24"/>
                <w:szCs w:val="24"/>
              </w:rPr>
              <w:br/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）医疗费用控制措施</w:t>
            </w:r>
          </w:p>
        </w:tc>
      </w:tr>
      <w:tr w:rsidR="00593DB8">
        <w:trPr>
          <w:tblCellSpacing w:w="0" w:type="dxa"/>
          <w:jc w:val="center"/>
        </w:trPr>
        <w:tc>
          <w:tcPr>
            <w:tcW w:w="10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593DB8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DB8" w:rsidRDefault="00B04BD2" w:rsidP="00280E05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</w:t>
            </w:r>
            <w:r w:rsidRPr="00280E05">
              <w:rPr>
                <w:rFonts w:ascii="宋体" w:hAnsi="宋体" w:hint="eastAsia"/>
                <w:color w:val="FF0000"/>
                <w:sz w:val="24"/>
                <w:szCs w:val="24"/>
              </w:rPr>
              <w:t>全球卫生</w:t>
            </w:r>
            <w:r w:rsidRPr="00280E05">
              <w:rPr>
                <w:rFonts w:ascii="宋体" w:hAnsi="宋体" w:hint="eastAsia"/>
                <w:color w:val="FF0000"/>
                <w:sz w:val="24"/>
                <w:szCs w:val="24"/>
              </w:rPr>
              <w:t>与</w:t>
            </w:r>
            <w:r w:rsidR="00280E05" w:rsidRPr="00280E05">
              <w:rPr>
                <w:rFonts w:ascii="宋体" w:hAnsi="宋体" w:hint="eastAsia"/>
                <w:color w:val="FF0000"/>
                <w:sz w:val="24"/>
                <w:szCs w:val="24"/>
              </w:rPr>
              <w:t>健康中国</w:t>
            </w:r>
          </w:p>
        </w:tc>
        <w:tc>
          <w:tcPr>
            <w:tcW w:w="5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0E05" w:rsidRDefault="00B04BD2" w:rsidP="00280E05">
            <w:pPr>
              <w:spacing w:line="360" w:lineRule="auto"/>
              <w:jc w:val="left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</w:t>
            </w:r>
            <w:r w:rsidR="00280E05">
              <w:rPr>
                <w:rFonts w:ascii="宋体" w:hAnsi="宋体" w:hint="eastAsia"/>
                <w:sz w:val="24"/>
                <w:szCs w:val="24"/>
              </w:rPr>
              <w:t>联合国2030可持续性发展目标</w:t>
            </w:r>
          </w:p>
          <w:p w:rsidR="00593DB8" w:rsidRDefault="00B04BD2" w:rsidP="00280E05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</w:t>
            </w:r>
            <w:r w:rsidR="00280E05">
              <w:rPr>
                <w:rFonts w:ascii="宋体" w:hAnsi="宋体" w:hint="eastAsia"/>
                <w:sz w:val="24"/>
                <w:szCs w:val="24"/>
              </w:rPr>
              <w:t>我国卫生成就、面对的挑战与“健康中国2030”</w:t>
            </w:r>
          </w:p>
        </w:tc>
      </w:tr>
    </w:tbl>
    <w:p w:rsidR="00593DB8" w:rsidRDefault="00593DB8">
      <w:pPr>
        <w:spacing w:line="360" w:lineRule="auto"/>
        <w:jc w:val="left"/>
        <w:rPr>
          <w:rFonts w:ascii="宋体" w:hAnsi="宋体"/>
          <w:sz w:val="24"/>
          <w:szCs w:val="24"/>
        </w:rPr>
      </w:pPr>
    </w:p>
    <w:p w:rsidR="00593DB8" w:rsidRDefault="00593DB8"/>
    <w:sectPr w:rsidR="00593DB8" w:rsidSect="00593DB8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4BD2" w:rsidRDefault="00B04BD2" w:rsidP="00593DB8">
      <w:r>
        <w:separator/>
      </w:r>
    </w:p>
  </w:endnote>
  <w:endnote w:type="continuationSeparator" w:id="0">
    <w:p w:rsidR="00B04BD2" w:rsidRDefault="00B04BD2" w:rsidP="00593D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4BD2" w:rsidRDefault="00B04BD2" w:rsidP="00593DB8">
      <w:r>
        <w:separator/>
      </w:r>
    </w:p>
  </w:footnote>
  <w:footnote w:type="continuationSeparator" w:id="0">
    <w:p w:rsidR="00B04BD2" w:rsidRDefault="00B04BD2" w:rsidP="00593D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DB8" w:rsidRDefault="00B04BD2">
    <w:pPr>
      <w:pStyle w:val="a5"/>
      <w:jc w:val="left"/>
      <w:rPr>
        <w:rFonts w:ascii="宋体" w:hAnsi="宋体"/>
      </w:rPr>
    </w:pPr>
    <w:r>
      <w:rPr>
        <w:noProof/>
      </w:rPr>
      <w:drawing>
        <wp:inline distT="0" distB="0" distL="0" distR="0">
          <wp:extent cx="1590675" cy="400050"/>
          <wp:effectExtent l="19050" t="0" r="9525" b="0"/>
          <wp:docPr id="1" name="图片 1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906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　　　　　　　　　</w:t>
    </w:r>
    <w:r>
      <w:rPr>
        <w:rFonts w:ascii="宋体" w:hAnsi="宋体" w:hint="eastAsia"/>
      </w:rPr>
      <w:t xml:space="preserve">　　</w:t>
    </w:r>
    <w:r>
      <w:rPr>
        <w:rFonts w:ascii="宋体" w:hAnsi="宋体" w:hint="eastAsia"/>
      </w:rPr>
      <w:t xml:space="preserve"> </w:t>
    </w:r>
    <w:hyperlink r:id="rId2" w:history="1">
      <w:r>
        <w:rPr>
          <w:rStyle w:val="a6"/>
          <w:rFonts w:ascii="宋体" w:hAnsi="宋体" w:hint="eastAsia"/>
        </w:rPr>
        <w:t>正保远程教育</w:t>
      </w:r>
    </w:hyperlink>
    <w:r>
      <w:rPr>
        <w:rFonts w:ascii="宋体" w:hAnsi="宋体" w:hint="eastAsia"/>
      </w:rPr>
      <w:t>（美国纽交所上市公司　代码：</w:t>
    </w:r>
    <w:r>
      <w:rPr>
        <w:rFonts w:ascii="宋体" w:hAnsi="宋体" w:hint="eastAsia"/>
      </w:rPr>
      <w:t>DL</w:t>
    </w:r>
    <w:r>
      <w:rPr>
        <w:rFonts w:ascii="宋体" w:hAnsi="宋体" w:hint="eastAsia"/>
      </w:rPr>
      <w:t>）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1C76"/>
    <w:rsid w:val="000F0E63"/>
    <w:rsid w:val="00280E05"/>
    <w:rsid w:val="003D1C76"/>
    <w:rsid w:val="003E5905"/>
    <w:rsid w:val="00593DB8"/>
    <w:rsid w:val="00753C78"/>
    <w:rsid w:val="00A42F04"/>
    <w:rsid w:val="00B04BD2"/>
    <w:rsid w:val="00C533B1"/>
    <w:rsid w:val="4C7F4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DB8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93DB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93DB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593D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Hyperlink"/>
    <w:basedOn w:val="a0"/>
    <w:semiHidden/>
    <w:unhideWhenUsed/>
    <w:rsid w:val="00593DB8"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semiHidden/>
    <w:rsid w:val="00593DB8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593DB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93DB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deledu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472</Words>
  <Characters>2694</Characters>
  <Application>Microsoft Office Word</Application>
  <DocSecurity>0</DocSecurity>
  <Lines>22</Lines>
  <Paragraphs>6</Paragraphs>
  <ScaleCrop>false</ScaleCrop>
  <Company/>
  <LinksUpToDate>false</LinksUpToDate>
  <CharactersWithSpaces>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李宇宸</cp:lastModifiedBy>
  <cp:revision>4</cp:revision>
  <dcterms:created xsi:type="dcterms:W3CDTF">2017-03-21T02:33:00Z</dcterms:created>
  <dcterms:modified xsi:type="dcterms:W3CDTF">2018-10-09T13:30:00Z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